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7"/>
        <w:tblW w:w="0" w:type="auto"/>
        <w:tblLook w:val="04A0" w:firstRow="1" w:lastRow="0" w:firstColumn="1" w:lastColumn="0" w:noHBand="0" w:noVBand="1"/>
      </w:tblPr>
      <w:tblGrid>
        <w:gridCol w:w="971"/>
        <w:gridCol w:w="1360"/>
      </w:tblGrid>
      <w:tr w:rsidR="00C360A0" w14:paraId="0E26CB89" w14:textId="77777777" w:rsidTr="00C360A0">
        <w:trPr>
          <w:trHeight w:val="192"/>
        </w:trPr>
        <w:tc>
          <w:tcPr>
            <w:tcW w:w="900" w:type="dxa"/>
            <w:vMerge w:val="restart"/>
          </w:tcPr>
          <w:p w14:paraId="6FDCF3F4" w14:textId="77777777" w:rsidR="00C360A0" w:rsidRPr="00C360A0" w:rsidRDefault="00FF56E0" w:rsidP="00C360A0">
            <w:pPr>
              <w:pStyle w:val="BodyText"/>
              <w:rPr>
                <w:rFonts w:asciiTheme="minorHAnsi" w:hAnsiTheme="minorHAnsi" w:cstheme="minorHAnsi"/>
                <w:sz w:val="16"/>
                <w:szCs w:val="16"/>
              </w:rPr>
            </w:pPr>
            <w:r>
              <w:rPr>
                <w:rFonts w:asciiTheme="minorHAnsi" w:hAnsiTheme="minorHAnsi" w:cstheme="minorHAnsi"/>
                <w:sz w:val="16"/>
                <w:szCs w:val="16"/>
              </w:rPr>
              <w:t>T</w:t>
            </w:r>
            <w:r w:rsidR="00C360A0" w:rsidRPr="00C360A0">
              <w:rPr>
                <w:rFonts w:asciiTheme="minorHAnsi" w:hAnsiTheme="minorHAnsi" w:cstheme="minorHAnsi"/>
                <w:sz w:val="16"/>
                <w:szCs w:val="16"/>
              </w:rPr>
              <w:t xml:space="preserve">o be completed by </w:t>
            </w:r>
            <w:proofErr w:type="spellStart"/>
            <w:r w:rsidR="00C360A0" w:rsidRPr="00C360A0">
              <w:rPr>
                <w:rFonts w:asciiTheme="minorHAnsi" w:hAnsiTheme="minorHAnsi" w:cstheme="minorHAnsi"/>
                <w:sz w:val="16"/>
                <w:szCs w:val="16"/>
              </w:rPr>
              <w:t>OIC</w:t>
            </w:r>
            <w:proofErr w:type="spellEnd"/>
            <w:r w:rsidR="00C360A0" w:rsidRPr="00C360A0">
              <w:rPr>
                <w:rFonts w:asciiTheme="minorHAnsi" w:hAnsiTheme="minorHAnsi" w:cstheme="minorHAnsi"/>
                <w:sz w:val="16"/>
                <w:szCs w:val="16"/>
              </w:rPr>
              <w:t xml:space="preserve"> </w:t>
            </w:r>
          </w:p>
        </w:tc>
        <w:tc>
          <w:tcPr>
            <w:tcW w:w="1360" w:type="dxa"/>
          </w:tcPr>
          <w:p w14:paraId="0A87B9A7" w14:textId="77777777" w:rsidR="00C360A0" w:rsidRPr="00C360A0" w:rsidRDefault="00C360A0" w:rsidP="00C360A0">
            <w:pPr>
              <w:pStyle w:val="BodyText"/>
              <w:rPr>
                <w:rFonts w:asciiTheme="minorHAnsi" w:hAnsiTheme="minorHAnsi" w:cstheme="minorHAnsi"/>
                <w:sz w:val="16"/>
                <w:szCs w:val="16"/>
              </w:rPr>
            </w:pPr>
            <w:proofErr w:type="spellStart"/>
            <w:r w:rsidRPr="00C360A0">
              <w:rPr>
                <w:rFonts w:asciiTheme="minorHAnsi" w:hAnsiTheme="minorHAnsi" w:cstheme="minorHAnsi"/>
                <w:sz w:val="16"/>
                <w:szCs w:val="16"/>
              </w:rPr>
              <w:t>OIC</w:t>
            </w:r>
            <w:proofErr w:type="spellEnd"/>
            <w:r w:rsidRPr="00C360A0">
              <w:rPr>
                <w:rFonts w:asciiTheme="minorHAnsi" w:hAnsiTheme="minorHAnsi" w:cstheme="minorHAnsi"/>
                <w:sz w:val="16"/>
                <w:szCs w:val="16"/>
              </w:rPr>
              <w:t xml:space="preserve"> Tracking </w:t>
            </w:r>
          </w:p>
          <w:p w14:paraId="13E9DF43" w14:textId="77777777" w:rsidR="00C360A0" w:rsidRPr="00C360A0" w:rsidRDefault="00C360A0" w:rsidP="00C360A0">
            <w:pPr>
              <w:pStyle w:val="BodyText"/>
              <w:rPr>
                <w:rFonts w:asciiTheme="minorHAnsi" w:hAnsiTheme="minorHAnsi" w:cstheme="minorHAnsi"/>
              </w:rPr>
            </w:pPr>
            <w:r w:rsidRPr="00C360A0">
              <w:rPr>
                <w:rFonts w:asciiTheme="minorHAnsi" w:hAnsiTheme="minorHAnsi" w:cstheme="minorHAnsi"/>
                <w:sz w:val="16"/>
                <w:szCs w:val="16"/>
              </w:rPr>
              <w:t>Number:</w:t>
            </w:r>
          </w:p>
        </w:tc>
      </w:tr>
      <w:tr w:rsidR="00C360A0" w14:paraId="737614AD" w14:textId="77777777" w:rsidTr="00C360A0">
        <w:trPr>
          <w:trHeight w:val="192"/>
        </w:trPr>
        <w:tc>
          <w:tcPr>
            <w:tcW w:w="900" w:type="dxa"/>
            <w:vMerge/>
          </w:tcPr>
          <w:p w14:paraId="015AF11C" w14:textId="77777777" w:rsidR="00C360A0" w:rsidRDefault="00C360A0" w:rsidP="00C360A0">
            <w:pPr>
              <w:pStyle w:val="BodyText"/>
              <w:rPr>
                <w:rFonts w:asciiTheme="minorHAnsi" w:hAnsiTheme="minorHAnsi" w:cstheme="minorHAnsi"/>
              </w:rPr>
            </w:pPr>
          </w:p>
        </w:tc>
        <w:tc>
          <w:tcPr>
            <w:tcW w:w="1360" w:type="dxa"/>
          </w:tcPr>
          <w:p w14:paraId="18E06457" w14:textId="77777777" w:rsidR="00C360A0" w:rsidRDefault="00C360A0" w:rsidP="00C360A0">
            <w:pPr>
              <w:pStyle w:val="BodyText"/>
              <w:rPr>
                <w:rFonts w:ascii="Times New Roman"/>
              </w:rPr>
            </w:pPr>
          </w:p>
        </w:tc>
      </w:tr>
      <w:tr w:rsidR="005A074C" w14:paraId="22ABF0E6" w14:textId="77777777" w:rsidTr="00C360A0">
        <w:trPr>
          <w:trHeight w:val="192"/>
        </w:trPr>
        <w:tc>
          <w:tcPr>
            <w:tcW w:w="900" w:type="dxa"/>
          </w:tcPr>
          <w:p w14:paraId="14042999" w14:textId="77777777" w:rsidR="005A074C" w:rsidRDefault="005A074C" w:rsidP="00C360A0">
            <w:pPr>
              <w:pStyle w:val="BodyText"/>
              <w:rPr>
                <w:rFonts w:asciiTheme="minorHAnsi" w:hAnsiTheme="minorHAnsi" w:cstheme="minorHAnsi"/>
              </w:rPr>
            </w:pPr>
          </w:p>
        </w:tc>
        <w:tc>
          <w:tcPr>
            <w:tcW w:w="1360" w:type="dxa"/>
          </w:tcPr>
          <w:p w14:paraId="7EBC8E4C" w14:textId="77777777" w:rsidR="005A074C" w:rsidRDefault="005A074C" w:rsidP="00C360A0">
            <w:pPr>
              <w:pStyle w:val="BodyText"/>
              <w:rPr>
                <w:rFonts w:ascii="Times New Roman"/>
              </w:rPr>
            </w:pPr>
          </w:p>
        </w:tc>
      </w:tr>
      <w:tr w:rsidR="005A074C" w14:paraId="7CAA5488" w14:textId="77777777" w:rsidTr="00C360A0">
        <w:trPr>
          <w:trHeight w:val="192"/>
        </w:trPr>
        <w:tc>
          <w:tcPr>
            <w:tcW w:w="900" w:type="dxa"/>
          </w:tcPr>
          <w:p w14:paraId="394561A0" w14:textId="77777777" w:rsidR="005A074C" w:rsidRDefault="005A074C" w:rsidP="00C360A0">
            <w:pPr>
              <w:pStyle w:val="BodyText"/>
              <w:rPr>
                <w:rFonts w:asciiTheme="minorHAnsi" w:hAnsiTheme="minorHAnsi" w:cstheme="minorHAnsi"/>
              </w:rPr>
            </w:pPr>
          </w:p>
        </w:tc>
        <w:tc>
          <w:tcPr>
            <w:tcW w:w="1360" w:type="dxa"/>
          </w:tcPr>
          <w:p w14:paraId="35BF0833" w14:textId="77777777" w:rsidR="005A074C" w:rsidRDefault="005A074C" w:rsidP="00C360A0">
            <w:pPr>
              <w:pStyle w:val="BodyText"/>
              <w:rPr>
                <w:rFonts w:ascii="Times New Roman"/>
              </w:rPr>
            </w:pPr>
          </w:p>
        </w:tc>
      </w:tr>
    </w:tbl>
    <w:p w14:paraId="2D79D49A" w14:textId="77777777" w:rsidR="00C360A0" w:rsidRDefault="009B3BF8">
      <w:pPr>
        <w:pStyle w:val="BodyText"/>
        <w:ind w:left="105"/>
        <w:rPr>
          <w:rFonts w:ascii="Times New Roman"/>
        </w:rPr>
      </w:pPr>
      <w:r>
        <w:rPr>
          <w:rFonts w:ascii="Times New Roman"/>
          <w:noProof/>
          <w:lang w:bidi="ar-SA"/>
        </w:rPr>
        <w:drawing>
          <wp:inline distT="0" distB="0" distL="0" distR="0" wp14:anchorId="7A138A8D" wp14:editId="5AB74B11">
            <wp:extent cx="2354580" cy="6324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354580" cy="632459"/>
                    </a:xfrm>
                    <a:prstGeom prst="rect">
                      <a:avLst/>
                    </a:prstGeom>
                  </pic:spPr>
                </pic:pic>
              </a:graphicData>
            </a:graphic>
          </wp:inline>
        </w:drawing>
      </w:r>
    </w:p>
    <w:p w14:paraId="35DDE0B4" w14:textId="77777777" w:rsidR="002F5275" w:rsidRDefault="009B3BF8" w:rsidP="00363CB3">
      <w:pPr>
        <w:spacing w:before="99"/>
        <w:jc w:val="center"/>
        <w:rPr>
          <w:rFonts w:ascii="Segoe UI"/>
          <w:b/>
          <w:sz w:val="28"/>
          <w:szCs w:val="28"/>
        </w:rPr>
      </w:pPr>
      <w:r w:rsidRPr="009B3BF8">
        <w:rPr>
          <w:rFonts w:ascii="Segoe UI"/>
          <w:b/>
          <w:sz w:val="28"/>
          <w:szCs w:val="28"/>
        </w:rPr>
        <w:t>Balance Billing Protection Act Arb</w:t>
      </w:r>
      <w:r w:rsidR="00363CB3">
        <w:rPr>
          <w:rFonts w:ascii="Segoe UI"/>
          <w:b/>
          <w:sz w:val="28"/>
          <w:szCs w:val="28"/>
        </w:rPr>
        <w:t>itration Initiation Request Form</w:t>
      </w:r>
    </w:p>
    <w:p w14:paraId="1C021B2E" w14:textId="77777777" w:rsidR="00113B45" w:rsidRDefault="00BB593B" w:rsidP="002A6A7D">
      <w:pPr>
        <w:pStyle w:val="BodyText"/>
        <w:ind w:left="105"/>
        <w:rPr>
          <w:rStyle w:val="Hyperlink"/>
        </w:rPr>
      </w:pPr>
      <w:r>
        <w:t>Please complete th</w:t>
      </w:r>
      <w:r w:rsidR="00B5727B">
        <w:t>is</w:t>
      </w:r>
      <w:r>
        <w:t xml:space="preserve"> form and send it to </w:t>
      </w:r>
      <w:hyperlink r:id="rId12" w:history="1">
        <w:r w:rsidRPr="00DA4A42">
          <w:rPr>
            <w:rStyle w:val="Hyperlink"/>
          </w:rPr>
          <w:t>BBPA_Arbitration@oic.wa.gov</w:t>
        </w:r>
      </w:hyperlink>
    </w:p>
    <w:p w14:paraId="17D9799F" w14:textId="77777777" w:rsidR="002A6A7D" w:rsidRPr="002A6A7D" w:rsidRDefault="002A6A7D" w:rsidP="002A6A7D">
      <w:pPr>
        <w:pStyle w:val="BodyText"/>
        <w:rPr>
          <w:color w:val="0000FF" w:themeColor="hyperlink"/>
          <w:u w:val="single"/>
        </w:rPr>
      </w:pPr>
    </w:p>
    <w:tbl>
      <w:tblPr>
        <w:tblpPr w:leftFromText="180" w:rightFromText="180" w:vertAnchor="text" w:horzAnchor="margin" w:tblpY="26"/>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3"/>
        <w:gridCol w:w="1564"/>
        <w:gridCol w:w="581"/>
        <w:gridCol w:w="524"/>
        <w:gridCol w:w="481"/>
        <w:gridCol w:w="261"/>
        <w:gridCol w:w="35"/>
        <w:gridCol w:w="789"/>
        <w:gridCol w:w="3739"/>
      </w:tblGrid>
      <w:tr w:rsidR="00CD7F06" w14:paraId="7E51C72A" w14:textId="77777777" w:rsidTr="00D75C75">
        <w:trPr>
          <w:trHeight w:val="792"/>
        </w:trPr>
        <w:tc>
          <w:tcPr>
            <w:tcW w:w="5119" w:type="dxa"/>
            <w:gridSpan w:val="7"/>
          </w:tcPr>
          <w:p w14:paraId="0D1B8E4C" w14:textId="77777777" w:rsidR="00CD7F06" w:rsidRDefault="00CD7F06" w:rsidP="00D75C75">
            <w:pPr>
              <w:pStyle w:val="TableParagraph"/>
              <w:spacing w:before="10"/>
              <w:ind w:left="101"/>
              <w:rPr>
                <w:sz w:val="20"/>
              </w:rPr>
            </w:pPr>
            <w:r>
              <w:rPr>
                <w:sz w:val="20"/>
              </w:rPr>
              <w:t xml:space="preserve">Date of request </w:t>
            </w:r>
          </w:p>
          <w:p w14:paraId="752EC2A9" w14:textId="77777777" w:rsidR="00CD7F06" w:rsidRDefault="00CD7F06" w:rsidP="00D75C75">
            <w:pPr>
              <w:pStyle w:val="TableParagraph"/>
              <w:spacing w:before="0"/>
              <w:ind w:left="101"/>
              <w:rPr>
                <w:sz w:val="20"/>
              </w:rPr>
            </w:pPr>
            <w:r>
              <w:rPr>
                <w:sz w:val="20"/>
              </w:rPr>
              <w:t>to initiate arbitration:</w:t>
            </w:r>
          </w:p>
          <w:p w14:paraId="1DEED16C" w14:textId="77777777" w:rsidR="00CD7F06" w:rsidRDefault="00CD7F06" w:rsidP="00D75C75">
            <w:pPr>
              <w:pStyle w:val="TableParagraph"/>
              <w:spacing w:before="10"/>
              <w:ind w:left="101"/>
              <w:rPr>
                <w:sz w:val="20"/>
              </w:rPr>
            </w:pPr>
          </w:p>
        </w:tc>
        <w:tc>
          <w:tcPr>
            <w:tcW w:w="4528" w:type="dxa"/>
            <w:gridSpan w:val="2"/>
            <w:tcBorders>
              <w:bottom w:val="nil"/>
            </w:tcBorders>
          </w:tcPr>
          <w:p w14:paraId="6DE4D1CE" w14:textId="77777777" w:rsidR="00CD7F06" w:rsidRDefault="00CD7F06" w:rsidP="00D75C75">
            <w:pPr>
              <w:pStyle w:val="TableParagraph"/>
              <w:ind w:left="105"/>
              <w:rPr>
                <w:i/>
                <w:sz w:val="18"/>
              </w:rPr>
            </w:pPr>
            <w:r>
              <w:rPr>
                <w:sz w:val="20"/>
              </w:rPr>
              <w:t xml:space="preserve">Is the patient’s plan regulated by the </w:t>
            </w:r>
            <w:proofErr w:type="spellStart"/>
            <w:r>
              <w:rPr>
                <w:sz w:val="20"/>
              </w:rPr>
              <w:t>OIC</w:t>
            </w:r>
            <w:proofErr w:type="spellEnd"/>
            <w:r>
              <w:rPr>
                <w:sz w:val="20"/>
              </w:rPr>
              <w:t xml:space="preserve"> or is it a self-funded group health plan that has elected to participate? </w:t>
            </w:r>
            <w:r>
              <w:rPr>
                <w:i/>
                <w:sz w:val="18"/>
              </w:rPr>
              <w:t>(See information on back.)</w:t>
            </w:r>
          </w:p>
        </w:tc>
      </w:tr>
      <w:tr w:rsidR="00CD7F06" w14:paraId="48503449" w14:textId="77777777" w:rsidTr="00D75C75">
        <w:trPr>
          <w:trHeight w:val="792"/>
        </w:trPr>
        <w:tc>
          <w:tcPr>
            <w:tcW w:w="5119" w:type="dxa"/>
            <w:gridSpan w:val="7"/>
          </w:tcPr>
          <w:p w14:paraId="225295DD" w14:textId="77777777" w:rsidR="00CD7F06" w:rsidRDefault="00CD7F06" w:rsidP="00D75C75">
            <w:pPr>
              <w:pStyle w:val="TableParagraph"/>
              <w:spacing w:before="56"/>
              <w:ind w:left="101"/>
              <w:rPr>
                <w:sz w:val="20"/>
              </w:rPr>
            </w:pPr>
            <w:r w:rsidRPr="007F383C">
              <w:rPr>
                <w:sz w:val="20"/>
              </w:rPr>
              <w:t>Date</w:t>
            </w:r>
            <w:r>
              <w:rPr>
                <w:sz w:val="20"/>
              </w:rPr>
              <w:t xml:space="preserve"> n</w:t>
            </w:r>
            <w:r w:rsidRPr="007F383C">
              <w:rPr>
                <w:sz w:val="20"/>
              </w:rPr>
              <w:t>otice</w:t>
            </w:r>
            <w:r>
              <w:rPr>
                <w:sz w:val="20"/>
              </w:rPr>
              <w:t xml:space="preserve"> to initiate arbitration</w:t>
            </w:r>
            <w:r w:rsidRPr="007F383C">
              <w:rPr>
                <w:sz w:val="20"/>
              </w:rPr>
              <w:t xml:space="preserve"> </w:t>
            </w:r>
            <w:r>
              <w:rPr>
                <w:sz w:val="20"/>
              </w:rPr>
              <w:t>was p</w:t>
            </w:r>
            <w:r w:rsidRPr="007F383C">
              <w:rPr>
                <w:sz w:val="20"/>
              </w:rPr>
              <w:t xml:space="preserve">rovided  </w:t>
            </w:r>
          </w:p>
          <w:p w14:paraId="554BFFA6" w14:textId="77777777" w:rsidR="00CD7F06" w:rsidRPr="007F383C" w:rsidRDefault="00CD7F06" w:rsidP="00D75C75">
            <w:pPr>
              <w:pStyle w:val="TableParagraph"/>
              <w:spacing w:before="0"/>
              <w:ind w:left="101"/>
              <w:rPr>
                <w:sz w:val="20"/>
              </w:rPr>
            </w:pPr>
            <w:r w:rsidRPr="007F383C">
              <w:rPr>
                <w:sz w:val="20"/>
              </w:rPr>
              <w:t xml:space="preserve">to </w:t>
            </w:r>
            <w:r>
              <w:rPr>
                <w:sz w:val="20"/>
              </w:rPr>
              <w:t>n</w:t>
            </w:r>
            <w:r w:rsidRPr="007F383C">
              <w:rPr>
                <w:sz w:val="20"/>
              </w:rPr>
              <w:t xml:space="preserve">on-initiating </w:t>
            </w:r>
            <w:r>
              <w:rPr>
                <w:sz w:val="20"/>
              </w:rPr>
              <w:t>p</w:t>
            </w:r>
            <w:r w:rsidRPr="007F383C">
              <w:rPr>
                <w:sz w:val="20"/>
              </w:rPr>
              <w:t>arty:</w:t>
            </w:r>
            <w:r>
              <w:rPr>
                <w:sz w:val="20"/>
              </w:rPr>
              <w:t xml:space="preserve">  </w:t>
            </w:r>
          </w:p>
          <w:p w14:paraId="5F9B5E44" w14:textId="77777777" w:rsidR="00CD7F06" w:rsidRDefault="00CD7F06" w:rsidP="00D75C75">
            <w:pPr>
              <w:pStyle w:val="TableParagraph"/>
              <w:spacing w:before="10"/>
              <w:ind w:left="101"/>
              <w:rPr>
                <w:sz w:val="20"/>
              </w:rPr>
            </w:pPr>
          </w:p>
        </w:tc>
        <w:tc>
          <w:tcPr>
            <w:tcW w:w="4528" w:type="dxa"/>
            <w:gridSpan w:val="2"/>
            <w:tcBorders>
              <w:top w:val="nil"/>
              <w:bottom w:val="nil"/>
            </w:tcBorders>
            <w:vAlign w:val="center"/>
          </w:tcPr>
          <w:p w14:paraId="667C442C" w14:textId="77777777" w:rsidR="00CD7F06" w:rsidRDefault="00CD7F06" w:rsidP="00D75C75">
            <w:pPr>
              <w:pStyle w:val="TableParagraph"/>
              <w:tabs>
                <w:tab w:val="left" w:pos="2290"/>
              </w:tabs>
              <w:spacing w:before="27"/>
              <w:ind w:left="328"/>
              <w:jc w:val="center"/>
              <w:rPr>
                <w:sz w:val="20"/>
              </w:rPr>
            </w:pPr>
            <w:r>
              <w:rPr>
                <w:sz w:val="20"/>
              </w:rPr>
              <w:t>Yes</w:t>
            </w:r>
            <w:r>
              <w:rPr>
                <w:sz w:val="20"/>
              </w:rPr>
              <w:tab/>
              <w:t>No</w:t>
            </w:r>
          </w:p>
        </w:tc>
      </w:tr>
      <w:tr w:rsidR="00CD7F06" w14:paraId="08D85E4B" w14:textId="77777777" w:rsidTr="00D75C75">
        <w:trPr>
          <w:trHeight w:val="792"/>
        </w:trPr>
        <w:tc>
          <w:tcPr>
            <w:tcW w:w="5119" w:type="dxa"/>
            <w:gridSpan w:val="7"/>
          </w:tcPr>
          <w:p w14:paraId="47F2A85D" w14:textId="77777777" w:rsidR="00CD7F06" w:rsidRDefault="00CD7F06" w:rsidP="00D75C75">
            <w:pPr>
              <w:pStyle w:val="TableParagraph"/>
              <w:spacing w:before="56"/>
              <w:ind w:left="101"/>
              <w:rPr>
                <w:sz w:val="20"/>
                <w:szCs w:val="20"/>
              </w:rPr>
            </w:pPr>
            <w:r w:rsidRPr="007F383C">
              <w:rPr>
                <w:sz w:val="20"/>
                <w:szCs w:val="20"/>
              </w:rPr>
              <w:t>Date of completion of 30</w:t>
            </w:r>
            <w:r>
              <w:rPr>
                <w:sz w:val="20"/>
                <w:szCs w:val="20"/>
              </w:rPr>
              <w:t>-</w:t>
            </w:r>
            <w:r w:rsidRPr="007F383C">
              <w:rPr>
                <w:sz w:val="20"/>
                <w:szCs w:val="20"/>
              </w:rPr>
              <w:t xml:space="preserve">day </w:t>
            </w:r>
          </w:p>
          <w:p w14:paraId="4331DB71" w14:textId="77777777" w:rsidR="00CD7F06" w:rsidRDefault="00CD7F06" w:rsidP="00D75C75">
            <w:pPr>
              <w:pStyle w:val="TableParagraph"/>
              <w:spacing w:before="0"/>
              <w:ind w:left="101"/>
              <w:rPr>
                <w:sz w:val="20"/>
                <w:szCs w:val="20"/>
              </w:rPr>
            </w:pPr>
            <w:r w:rsidRPr="007F383C">
              <w:rPr>
                <w:sz w:val="20"/>
                <w:szCs w:val="20"/>
              </w:rPr>
              <w:t>period of good faith negotiation:</w:t>
            </w:r>
            <w:r>
              <w:rPr>
                <w:sz w:val="20"/>
                <w:szCs w:val="20"/>
              </w:rPr>
              <w:t xml:space="preserve">  </w:t>
            </w:r>
          </w:p>
          <w:p w14:paraId="6ABC47DA" w14:textId="77777777" w:rsidR="00CD7F06" w:rsidRPr="007F383C" w:rsidRDefault="00CD7F06" w:rsidP="00D75C75">
            <w:pPr>
              <w:pStyle w:val="TableParagraph"/>
              <w:spacing w:before="56"/>
              <w:ind w:left="101"/>
              <w:rPr>
                <w:sz w:val="20"/>
                <w:szCs w:val="20"/>
              </w:rPr>
            </w:pPr>
          </w:p>
        </w:tc>
        <w:tc>
          <w:tcPr>
            <w:tcW w:w="4528" w:type="dxa"/>
            <w:gridSpan w:val="2"/>
            <w:tcBorders>
              <w:top w:val="nil"/>
              <w:bottom w:val="nil"/>
            </w:tcBorders>
            <w:vAlign w:val="center"/>
          </w:tcPr>
          <w:p w14:paraId="541D732D" w14:textId="77777777" w:rsidR="00CD7F06" w:rsidRDefault="00CD7F06" w:rsidP="00D75C75">
            <w:pPr>
              <w:pStyle w:val="TableParagraph"/>
              <w:ind w:left="105"/>
              <w:jc w:val="center"/>
              <w:rPr>
                <w:sz w:val="20"/>
              </w:rPr>
            </w:pPr>
            <w:r>
              <w:rPr>
                <w:b/>
                <w:sz w:val="20"/>
              </w:rPr>
              <w:t>If “no”, do not submit this request.</w:t>
            </w:r>
          </w:p>
        </w:tc>
      </w:tr>
      <w:tr w:rsidR="00CD7F06" w14:paraId="4F80C2DF" w14:textId="77777777" w:rsidTr="00D75C75">
        <w:trPr>
          <w:trHeight w:val="144"/>
        </w:trPr>
        <w:tc>
          <w:tcPr>
            <w:tcW w:w="9647" w:type="dxa"/>
            <w:gridSpan w:val="9"/>
            <w:shd w:val="clear" w:color="auto" w:fill="D9D9D9"/>
          </w:tcPr>
          <w:p w14:paraId="6FA607A9" w14:textId="77777777" w:rsidR="00CD7F06" w:rsidRDefault="00CD7F06" w:rsidP="00D75C75">
            <w:pPr>
              <w:pStyle w:val="TableParagraph"/>
              <w:spacing w:before="0"/>
              <w:ind w:left="0"/>
              <w:rPr>
                <w:rFonts w:ascii="Times New Roman"/>
                <w:sz w:val="16"/>
              </w:rPr>
            </w:pPr>
          </w:p>
        </w:tc>
      </w:tr>
      <w:tr w:rsidR="00CD7F06" w14:paraId="5FAE9B74" w14:textId="77777777" w:rsidTr="00D75C75">
        <w:trPr>
          <w:trHeight w:val="720"/>
        </w:trPr>
        <w:tc>
          <w:tcPr>
            <w:tcW w:w="3237" w:type="dxa"/>
            <w:gridSpan w:val="2"/>
          </w:tcPr>
          <w:p w14:paraId="19C0D52F" w14:textId="77777777" w:rsidR="00CD7F06" w:rsidRDefault="00CD7F06" w:rsidP="00D75C75">
            <w:pPr>
              <w:pStyle w:val="TableParagraph"/>
              <w:ind w:right="141"/>
              <w:rPr>
                <w:sz w:val="20"/>
              </w:rPr>
            </w:pPr>
            <w:r>
              <w:rPr>
                <w:sz w:val="20"/>
              </w:rPr>
              <w:t>Name and contact information of the entity initiating arbitration:</w:t>
            </w:r>
          </w:p>
        </w:tc>
        <w:tc>
          <w:tcPr>
            <w:tcW w:w="6410" w:type="dxa"/>
            <w:gridSpan w:val="7"/>
          </w:tcPr>
          <w:p w14:paraId="15BF1C55" w14:textId="77777777" w:rsidR="00CD7F06" w:rsidRDefault="00CD7F06" w:rsidP="00D75C75">
            <w:pPr>
              <w:pStyle w:val="TableParagraph"/>
              <w:spacing w:before="0"/>
              <w:ind w:left="0"/>
              <w:rPr>
                <w:rFonts w:ascii="Times New Roman"/>
                <w:sz w:val="18"/>
              </w:rPr>
            </w:pPr>
          </w:p>
        </w:tc>
      </w:tr>
      <w:tr w:rsidR="008F6244" w14:paraId="5D383B6D" w14:textId="77777777" w:rsidTr="00061CED">
        <w:trPr>
          <w:trHeight w:val="207"/>
        </w:trPr>
        <w:tc>
          <w:tcPr>
            <w:tcW w:w="1673" w:type="dxa"/>
            <w:vMerge w:val="restart"/>
          </w:tcPr>
          <w:p w14:paraId="488EA248" w14:textId="77777777" w:rsidR="008F6244" w:rsidRDefault="008F6244" w:rsidP="00D75C75">
            <w:pPr>
              <w:pStyle w:val="TableParagraph"/>
              <w:ind w:right="147"/>
              <w:rPr>
                <w:sz w:val="20"/>
              </w:rPr>
            </w:pPr>
            <w:r>
              <w:rPr>
                <w:sz w:val="20"/>
              </w:rPr>
              <w:t>The entity requesting arbitration is a:</w:t>
            </w:r>
          </w:p>
        </w:tc>
        <w:tc>
          <w:tcPr>
            <w:tcW w:w="2145" w:type="dxa"/>
            <w:gridSpan w:val="2"/>
          </w:tcPr>
          <w:p w14:paraId="22F488A3" w14:textId="77777777" w:rsidR="008F6244" w:rsidRDefault="008F6244" w:rsidP="00D75C75">
            <w:pPr>
              <w:pStyle w:val="TableParagraph"/>
              <w:spacing w:before="121"/>
              <w:ind w:left="99"/>
              <w:rPr>
                <w:sz w:val="20"/>
              </w:rPr>
            </w:pPr>
            <w:r>
              <w:rPr>
                <w:sz w:val="20"/>
              </w:rPr>
              <w:t>Health care facility:</w:t>
            </w:r>
          </w:p>
        </w:tc>
        <w:tc>
          <w:tcPr>
            <w:tcW w:w="524" w:type="dxa"/>
          </w:tcPr>
          <w:p w14:paraId="1A2A9EF2" w14:textId="77777777" w:rsidR="008F6244" w:rsidRDefault="008F6244" w:rsidP="00D75C75">
            <w:pPr>
              <w:pStyle w:val="TableParagraph"/>
              <w:ind w:left="91"/>
              <w:rPr>
                <w:sz w:val="20"/>
              </w:rPr>
            </w:pPr>
          </w:p>
        </w:tc>
        <w:tc>
          <w:tcPr>
            <w:tcW w:w="1566" w:type="dxa"/>
            <w:gridSpan w:val="4"/>
          </w:tcPr>
          <w:p w14:paraId="7020798F" w14:textId="77777777" w:rsidR="008F6244" w:rsidRDefault="008F6244" w:rsidP="00D75C75">
            <w:pPr>
              <w:pStyle w:val="TableParagraph"/>
              <w:tabs>
                <w:tab w:val="left" w:pos="3929"/>
              </w:tabs>
              <w:spacing w:before="117"/>
              <w:ind w:left="99"/>
              <w:rPr>
                <w:sz w:val="20"/>
              </w:rPr>
            </w:pPr>
            <w:r>
              <w:rPr>
                <w:sz w:val="20"/>
              </w:rPr>
              <w:t>License type:</w:t>
            </w:r>
          </w:p>
        </w:tc>
        <w:tc>
          <w:tcPr>
            <w:tcW w:w="3739" w:type="dxa"/>
          </w:tcPr>
          <w:p w14:paraId="28E46660" w14:textId="77777777" w:rsidR="008F6244" w:rsidRDefault="008F6244" w:rsidP="00D75C75">
            <w:pPr>
              <w:pStyle w:val="TableParagraph"/>
              <w:ind w:left="104"/>
              <w:rPr>
                <w:sz w:val="20"/>
              </w:rPr>
            </w:pPr>
          </w:p>
        </w:tc>
      </w:tr>
      <w:tr w:rsidR="008F6244" w14:paraId="1390E4C3" w14:textId="77777777" w:rsidTr="00DA07C1">
        <w:trPr>
          <w:trHeight w:val="207"/>
        </w:trPr>
        <w:tc>
          <w:tcPr>
            <w:tcW w:w="1673" w:type="dxa"/>
            <w:vMerge/>
          </w:tcPr>
          <w:p w14:paraId="514CBA89" w14:textId="77777777" w:rsidR="008F6244" w:rsidRDefault="008F6244" w:rsidP="00D75C75">
            <w:pPr>
              <w:pStyle w:val="TableParagraph"/>
              <w:ind w:right="147"/>
              <w:rPr>
                <w:sz w:val="20"/>
              </w:rPr>
            </w:pPr>
          </w:p>
        </w:tc>
        <w:tc>
          <w:tcPr>
            <w:tcW w:w="2145" w:type="dxa"/>
            <w:gridSpan w:val="2"/>
          </w:tcPr>
          <w:p w14:paraId="079CEFDE" w14:textId="77777777" w:rsidR="008F6244" w:rsidRDefault="008F6244" w:rsidP="00D75C75">
            <w:pPr>
              <w:pStyle w:val="TableParagraph"/>
              <w:spacing w:before="121"/>
              <w:ind w:left="99"/>
              <w:rPr>
                <w:sz w:val="20"/>
              </w:rPr>
            </w:pPr>
            <w:r>
              <w:rPr>
                <w:sz w:val="20"/>
              </w:rPr>
              <w:t>Health care provider:</w:t>
            </w:r>
          </w:p>
        </w:tc>
        <w:tc>
          <w:tcPr>
            <w:tcW w:w="524" w:type="dxa"/>
          </w:tcPr>
          <w:p w14:paraId="2AAABFD0" w14:textId="77777777" w:rsidR="008F6244" w:rsidRDefault="008F6244" w:rsidP="00D75C75">
            <w:pPr>
              <w:pStyle w:val="TableParagraph"/>
              <w:spacing w:before="121"/>
              <w:ind w:left="99"/>
              <w:rPr>
                <w:sz w:val="20"/>
              </w:rPr>
            </w:pPr>
          </w:p>
        </w:tc>
        <w:tc>
          <w:tcPr>
            <w:tcW w:w="1566" w:type="dxa"/>
            <w:gridSpan w:val="4"/>
          </w:tcPr>
          <w:p w14:paraId="738D4FD2" w14:textId="77777777" w:rsidR="008F6244" w:rsidRDefault="008F6244" w:rsidP="00D75C75">
            <w:pPr>
              <w:pStyle w:val="TableParagraph"/>
              <w:spacing w:before="121"/>
              <w:ind w:left="99"/>
              <w:rPr>
                <w:sz w:val="20"/>
              </w:rPr>
            </w:pPr>
            <w:r>
              <w:rPr>
                <w:sz w:val="20"/>
              </w:rPr>
              <w:t>Specialty type:</w:t>
            </w:r>
          </w:p>
        </w:tc>
        <w:tc>
          <w:tcPr>
            <w:tcW w:w="3739" w:type="dxa"/>
          </w:tcPr>
          <w:p w14:paraId="0F3C3383" w14:textId="77777777" w:rsidR="008F6244" w:rsidRDefault="008F6244" w:rsidP="00D75C75">
            <w:pPr>
              <w:pStyle w:val="TableParagraph"/>
              <w:spacing w:before="121"/>
              <w:ind w:left="99"/>
              <w:rPr>
                <w:sz w:val="20"/>
              </w:rPr>
            </w:pPr>
          </w:p>
        </w:tc>
      </w:tr>
      <w:tr w:rsidR="00CD7F06" w14:paraId="05A46662" w14:textId="77777777" w:rsidTr="00D75C75">
        <w:trPr>
          <w:trHeight w:val="360"/>
        </w:trPr>
        <w:tc>
          <w:tcPr>
            <w:tcW w:w="1673" w:type="dxa"/>
            <w:vMerge/>
          </w:tcPr>
          <w:p w14:paraId="38A4BAD9" w14:textId="77777777" w:rsidR="00CD7F06" w:rsidRDefault="00CD7F06" w:rsidP="00D75C75">
            <w:pPr>
              <w:pStyle w:val="TableParagraph"/>
              <w:ind w:right="147"/>
              <w:rPr>
                <w:sz w:val="20"/>
              </w:rPr>
            </w:pPr>
          </w:p>
        </w:tc>
        <w:tc>
          <w:tcPr>
            <w:tcW w:w="3411" w:type="dxa"/>
            <w:gridSpan w:val="5"/>
          </w:tcPr>
          <w:p w14:paraId="22A0DE8A" w14:textId="77777777" w:rsidR="00CD7F06" w:rsidRDefault="00CD7F06" w:rsidP="00D75C75">
            <w:pPr>
              <w:pStyle w:val="TableParagraph"/>
              <w:spacing w:before="121"/>
              <w:ind w:left="99"/>
              <w:rPr>
                <w:sz w:val="20"/>
              </w:rPr>
            </w:pPr>
            <w:r>
              <w:rPr>
                <w:sz w:val="20"/>
              </w:rPr>
              <w:t>Carrier or third-party administrator:</w:t>
            </w:r>
          </w:p>
        </w:tc>
        <w:tc>
          <w:tcPr>
            <w:tcW w:w="4563" w:type="dxa"/>
            <w:gridSpan w:val="3"/>
          </w:tcPr>
          <w:p w14:paraId="10862775" w14:textId="77777777" w:rsidR="00CD7F06" w:rsidRDefault="00CD7F06" w:rsidP="00D75C75">
            <w:pPr>
              <w:pStyle w:val="TableParagraph"/>
              <w:spacing w:before="121"/>
              <w:ind w:left="99"/>
              <w:rPr>
                <w:sz w:val="20"/>
              </w:rPr>
            </w:pPr>
          </w:p>
        </w:tc>
      </w:tr>
      <w:tr w:rsidR="00CD7F06" w14:paraId="6E0267D2" w14:textId="77777777" w:rsidTr="00D75C75">
        <w:trPr>
          <w:trHeight w:val="144"/>
        </w:trPr>
        <w:tc>
          <w:tcPr>
            <w:tcW w:w="9647" w:type="dxa"/>
            <w:gridSpan w:val="9"/>
            <w:shd w:val="clear" w:color="auto" w:fill="D9D9D9"/>
          </w:tcPr>
          <w:p w14:paraId="0EF87DE5" w14:textId="77777777" w:rsidR="00CD7F06" w:rsidRDefault="00CD7F06" w:rsidP="00D75C75">
            <w:pPr>
              <w:pStyle w:val="TableParagraph"/>
              <w:spacing w:before="0"/>
              <w:ind w:left="0"/>
              <w:rPr>
                <w:rFonts w:ascii="Times New Roman"/>
                <w:sz w:val="16"/>
              </w:rPr>
            </w:pPr>
          </w:p>
        </w:tc>
      </w:tr>
      <w:tr w:rsidR="00CD7F06" w14:paraId="10D4A3AB" w14:textId="77777777" w:rsidTr="00D75C75">
        <w:trPr>
          <w:trHeight w:val="720"/>
        </w:trPr>
        <w:tc>
          <w:tcPr>
            <w:tcW w:w="9647" w:type="dxa"/>
            <w:gridSpan w:val="9"/>
          </w:tcPr>
          <w:p w14:paraId="6D55D4E1" w14:textId="77777777" w:rsidR="00CD7F06" w:rsidRDefault="00CD7F06" w:rsidP="00D75C75">
            <w:pPr>
              <w:pStyle w:val="TableParagraph"/>
              <w:rPr>
                <w:sz w:val="20"/>
              </w:rPr>
            </w:pPr>
            <w:r>
              <w:rPr>
                <w:sz w:val="20"/>
              </w:rPr>
              <w:t>Description of health care services provided (including any applicable CPT codes):</w:t>
            </w:r>
          </w:p>
        </w:tc>
      </w:tr>
      <w:tr w:rsidR="00CD7F06" w14:paraId="527D1780" w14:textId="77777777" w:rsidTr="00D75C75">
        <w:trPr>
          <w:trHeight w:val="720"/>
        </w:trPr>
        <w:tc>
          <w:tcPr>
            <w:tcW w:w="9647" w:type="dxa"/>
            <w:gridSpan w:val="9"/>
          </w:tcPr>
          <w:p w14:paraId="48978833" w14:textId="77777777" w:rsidR="00CD7F06" w:rsidRDefault="00CD7F06" w:rsidP="00D75C75">
            <w:pPr>
              <w:pStyle w:val="TableParagraph"/>
              <w:rPr>
                <w:sz w:val="20"/>
              </w:rPr>
            </w:pPr>
            <w:r>
              <w:rPr>
                <w:sz w:val="20"/>
              </w:rPr>
              <w:t>Is this request for multiple claims? If so, identify carrier and provider/facility.</w:t>
            </w:r>
          </w:p>
          <w:p w14:paraId="7850E564" w14:textId="77777777" w:rsidR="00CD7F06" w:rsidRDefault="00CD7F06" w:rsidP="00D75C75">
            <w:pPr>
              <w:pStyle w:val="TableParagraph"/>
              <w:ind w:left="0"/>
              <w:rPr>
                <w:sz w:val="20"/>
              </w:rPr>
            </w:pPr>
          </w:p>
        </w:tc>
      </w:tr>
      <w:tr w:rsidR="00CD7F06" w14:paraId="0057F8AD" w14:textId="77777777" w:rsidTr="00D75C75">
        <w:trPr>
          <w:trHeight w:val="144"/>
        </w:trPr>
        <w:tc>
          <w:tcPr>
            <w:tcW w:w="9647" w:type="dxa"/>
            <w:gridSpan w:val="9"/>
            <w:shd w:val="clear" w:color="auto" w:fill="D9D9D9"/>
          </w:tcPr>
          <w:p w14:paraId="23FB722D" w14:textId="77777777" w:rsidR="00CD7F06" w:rsidRDefault="00CD7F06" w:rsidP="00D75C75">
            <w:pPr>
              <w:pStyle w:val="TableParagraph"/>
              <w:spacing w:before="0"/>
              <w:ind w:left="0"/>
              <w:rPr>
                <w:rFonts w:ascii="Times New Roman"/>
                <w:sz w:val="16"/>
              </w:rPr>
            </w:pPr>
          </w:p>
        </w:tc>
      </w:tr>
      <w:tr w:rsidR="00CD7F06" w14:paraId="716D2C72" w14:textId="77777777" w:rsidTr="00D75C75">
        <w:trPr>
          <w:trHeight w:val="720"/>
        </w:trPr>
        <w:tc>
          <w:tcPr>
            <w:tcW w:w="9647" w:type="dxa"/>
            <w:gridSpan w:val="9"/>
          </w:tcPr>
          <w:p w14:paraId="49EBAD89" w14:textId="77777777" w:rsidR="00CD7F06" w:rsidRDefault="00CD7F06" w:rsidP="00D75C75">
            <w:pPr>
              <w:pStyle w:val="TableParagraph"/>
              <w:rPr>
                <w:sz w:val="20"/>
              </w:rPr>
            </w:pPr>
            <w:r>
              <w:rPr>
                <w:sz w:val="20"/>
              </w:rPr>
              <w:t>Group/plan number (or numbers if multiple claims):</w:t>
            </w:r>
          </w:p>
        </w:tc>
      </w:tr>
      <w:tr w:rsidR="00CD7F06" w14:paraId="676C7744" w14:textId="77777777" w:rsidTr="00D75C75">
        <w:trPr>
          <w:trHeight w:val="720"/>
        </w:trPr>
        <w:tc>
          <w:tcPr>
            <w:tcW w:w="9647" w:type="dxa"/>
            <w:gridSpan w:val="9"/>
          </w:tcPr>
          <w:p w14:paraId="044F0B2D" w14:textId="77777777" w:rsidR="00CD7F06" w:rsidRDefault="00CD7F06" w:rsidP="00D75C75">
            <w:pPr>
              <w:pStyle w:val="TableParagraph"/>
              <w:rPr>
                <w:sz w:val="20"/>
              </w:rPr>
            </w:pPr>
            <w:r>
              <w:rPr>
                <w:sz w:val="20"/>
              </w:rPr>
              <w:t>Claim number (or numbers if multiple claims):</w:t>
            </w:r>
          </w:p>
        </w:tc>
      </w:tr>
      <w:tr w:rsidR="00CD7F06" w14:paraId="71597C23" w14:textId="77777777" w:rsidTr="00D75C75">
        <w:trPr>
          <w:trHeight w:val="720"/>
        </w:trPr>
        <w:tc>
          <w:tcPr>
            <w:tcW w:w="9647" w:type="dxa"/>
            <w:gridSpan w:val="9"/>
          </w:tcPr>
          <w:p w14:paraId="47285534" w14:textId="77777777" w:rsidR="00CD7F06" w:rsidRDefault="00CD7F06" w:rsidP="00D75C75">
            <w:pPr>
              <w:pStyle w:val="TableParagraph"/>
              <w:rPr>
                <w:sz w:val="20"/>
              </w:rPr>
            </w:pPr>
            <w:r>
              <w:rPr>
                <w:sz w:val="20"/>
              </w:rPr>
              <w:t>Date(s) of service: (if multiple claims, note the date of service for each claim)</w:t>
            </w:r>
          </w:p>
        </w:tc>
      </w:tr>
      <w:tr w:rsidR="00CD7F06" w14:paraId="5839DDEA" w14:textId="77777777" w:rsidTr="00D75C75">
        <w:trPr>
          <w:trHeight w:val="864"/>
        </w:trPr>
        <w:tc>
          <w:tcPr>
            <w:tcW w:w="4823" w:type="dxa"/>
            <w:gridSpan w:val="5"/>
          </w:tcPr>
          <w:p w14:paraId="10FC392A" w14:textId="77777777" w:rsidR="00CD7F06" w:rsidRDefault="00CD7F06" w:rsidP="00D75C75">
            <w:pPr>
              <w:pStyle w:val="TableParagraph"/>
              <w:rPr>
                <w:sz w:val="20"/>
              </w:rPr>
            </w:pPr>
            <w:r w:rsidRPr="00F32A1A">
              <w:rPr>
                <w:sz w:val="20"/>
              </w:rPr>
              <w:t xml:space="preserve">Carrier or </w:t>
            </w:r>
            <w:proofErr w:type="gramStart"/>
            <w:r w:rsidRPr="00F32A1A">
              <w:rPr>
                <w:sz w:val="20"/>
              </w:rPr>
              <w:t>third party</w:t>
            </w:r>
            <w:proofErr w:type="gramEnd"/>
            <w:r w:rsidRPr="00F32A1A">
              <w:rPr>
                <w:sz w:val="20"/>
              </w:rPr>
              <w:t xml:space="preserve"> administrator payment amount(s) for each claim:</w:t>
            </w:r>
          </w:p>
        </w:tc>
        <w:tc>
          <w:tcPr>
            <w:tcW w:w="4824" w:type="dxa"/>
            <w:gridSpan w:val="4"/>
          </w:tcPr>
          <w:p w14:paraId="3729A9D8" w14:textId="77777777" w:rsidR="00CD7F06" w:rsidRPr="007F383C" w:rsidRDefault="00CD7F06" w:rsidP="00D75C75">
            <w:pPr>
              <w:pStyle w:val="TableParagraph"/>
              <w:spacing w:line="229" w:lineRule="exact"/>
              <w:ind w:left="97" w:right="100"/>
              <w:rPr>
                <w:sz w:val="20"/>
              </w:rPr>
            </w:pPr>
            <w:proofErr w:type="gramStart"/>
            <w:r w:rsidRPr="007F383C">
              <w:rPr>
                <w:sz w:val="20"/>
              </w:rPr>
              <w:t xml:space="preserve">Date </w:t>
            </w:r>
            <w:r>
              <w:rPr>
                <w:sz w:val="20"/>
              </w:rPr>
              <w:t xml:space="preserve"> p</w:t>
            </w:r>
            <w:r w:rsidRPr="007F383C">
              <w:rPr>
                <w:sz w:val="20"/>
              </w:rPr>
              <w:t>ayment</w:t>
            </w:r>
            <w:proofErr w:type="gramEnd"/>
            <w:r w:rsidRPr="007F383C">
              <w:rPr>
                <w:sz w:val="20"/>
              </w:rPr>
              <w:t xml:space="preserve">(s) </w:t>
            </w:r>
            <w:r>
              <w:rPr>
                <w:sz w:val="20"/>
              </w:rPr>
              <w:t>r</w:t>
            </w:r>
            <w:r w:rsidRPr="007F383C">
              <w:rPr>
                <w:sz w:val="20"/>
              </w:rPr>
              <w:t xml:space="preserve">eceived by </w:t>
            </w:r>
            <w:r>
              <w:rPr>
                <w:sz w:val="20"/>
              </w:rPr>
              <w:t>p</w:t>
            </w:r>
            <w:r w:rsidRPr="007F383C">
              <w:rPr>
                <w:sz w:val="20"/>
              </w:rPr>
              <w:t>rovider/</w:t>
            </w:r>
            <w:r>
              <w:rPr>
                <w:sz w:val="20"/>
              </w:rPr>
              <w:t>f</w:t>
            </w:r>
            <w:r w:rsidRPr="007F383C">
              <w:rPr>
                <w:sz w:val="20"/>
              </w:rPr>
              <w:t>acility:</w:t>
            </w:r>
          </w:p>
          <w:p w14:paraId="5465960A" w14:textId="77777777" w:rsidR="00CD7F06" w:rsidRPr="00F32A1A" w:rsidRDefault="00CD7F06" w:rsidP="00D75C75">
            <w:pPr>
              <w:pStyle w:val="TableParagraph"/>
              <w:spacing w:before="0"/>
              <w:ind w:left="101"/>
              <w:rPr>
                <w:b/>
                <w:sz w:val="20"/>
              </w:rPr>
            </w:pPr>
            <w:r w:rsidRPr="007F383C">
              <w:rPr>
                <w:i/>
                <w:sz w:val="18"/>
              </w:rPr>
              <w:t>(Attach a copy of the notice of payment to this form.)</w:t>
            </w:r>
          </w:p>
        </w:tc>
      </w:tr>
      <w:tr w:rsidR="00CD7F06" w14:paraId="7B41A279" w14:textId="77777777" w:rsidTr="00D75C75">
        <w:trPr>
          <w:trHeight w:val="720"/>
        </w:trPr>
        <w:tc>
          <w:tcPr>
            <w:tcW w:w="9647" w:type="dxa"/>
            <w:gridSpan w:val="9"/>
          </w:tcPr>
          <w:p w14:paraId="3F034382" w14:textId="77777777" w:rsidR="00CD7F06" w:rsidRDefault="00CD7F06" w:rsidP="00D75C75">
            <w:pPr>
              <w:pStyle w:val="TableParagraph"/>
              <w:rPr>
                <w:sz w:val="20"/>
              </w:rPr>
            </w:pPr>
            <w:r>
              <w:rPr>
                <w:sz w:val="20"/>
              </w:rPr>
              <w:t xml:space="preserve">Date notice was provided to Non-initiating Party putting claim payment into dispute: </w:t>
            </w:r>
          </w:p>
        </w:tc>
      </w:tr>
      <w:tr w:rsidR="00CD7F06" w14:paraId="2AE7415E" w14:textId="77777777" w:rsidTr="00D75C75">
        <w:trPr>
          <w:trHeight w:val="720"/>
        </w:trPr>
        <w:tc>
          <w:tcPr>
            <w:tcW w:w="9647" w:type="dxa"/>
            <w:gridSpan w:val="9"/>
          </w:tcPr>
          <w:p w14:paraId="2002EA67" w14:textId="77777777" w:rsidR="00CD7F06" w:rsidRDefault="00CD7F06" w:rsidP="00D75C75">
            <w:pPr>
              <w:pStyle w:val="TableParagraph"/>
              <w:rPr>
                <w:sz w:val="20"/>
              </w:rPr>
            </w:pPr>
            <w:r>
              <w:rPr>
                <w:sz w:val="20"/>
              </w:rPr>
              <w:t>Initiating party’s final offer:</w:t>
            </w:r>
          </w:p>
        </w:tc>
      </w:tr>
      <w:tr w:rsidR="00CD7F06" w14:paraId="5BEDC420" w14:textId="77777777" w:rsidTr="00D75C75">
        <w:trPr>
          <w:trHeight w:val="720"/>
        </w:trPr>
        <w:tc>
          <w:tcPr>
            <w:tcW w:w="9647" w:type="dxa"/>
            <w:gridSpan w:val="9"/>
          </w:tcPr>
          <w:p w14:paraId="04C385B9" w14:textId="77777777" w:rsidR="00CD7F06" w:rsidRPr="00F32A1A" w:rsidRDefault="00CD7F06" w:rsidP="00D75C75">
            <w:pPr>
              <w:pStyle w:val="TableParagraph"/>
              <w:spacing w:before="120"/>
              <w:ind w:left="0"/>
              <w:rPr>
                <w:sz w:val="20"/>
              </w:rPr>
            </w:pPr>
            <w:r>
              <w:rPr>
                <w:sz w:val="20"/>
              </w:rPr>
              <w:t xml:space="preserve">  Name and contact information of non-initiating party identified for arbitration:</w:t>
            </w:r>
          </w:p>
        </w:tc>
      </w:tr>
    </w:tbl>
    <w:p w14:paraId="4B89E920" w14:textId="77777777" w:rsidR="002F5275" w:rsidRDefault="002F5275">
      <w:pPr>
        <w:rPr>
          <w:sz w:val="20"/>
        </w:rPr>
        <w:sectPr w:rsidR="002F5275" w:rsidSect="00C85AF8">
          <w:footerReference w:type="even" r:id="rId13"/>
          <w:footerReference w:type="default" r:id="rId14"/>
          <w:type w:val="continuous"/>
          <w:pgSz w:w="12240" w:h="15840" w:code="1"/>
          <w:pgMar w:top="734" w:right="1325" w:bottom="144" w:left="1224" w:header="720" w:footer="0" w:gutter="0"/>
          <w:cols w:space="720"/>
          <w:docGrid w:linePitch="299"/>
        </w:sectPr>
      </w:pPr>
      <w:bookmarkStart w:id="0" w:name="_GoBack"/>
      <w:bookmarkEnd w:id="0"/>
    </w:p>
    <w:p w14:paraId="04C140E1" w14:textId="77777777" w:rsidR="002F5275" w:rsidRDefault="009B3BF8">
      <w:pPr>
        <w:pStyle w:val="ListParagraph"/>
        <w:numPr>
          <w:ilvl w:val="0"/>
          <w:numId w:val="2"/>
        </w:numPr>
        <w:tabs>
          <w:tab w:val="left" w:pos="940"/>
          <w:tab w:val="left" w:pos="941"/>
        </w:tabs>
        <w:spacing w:before="70" w:line="249" w:lineRule="auto"/>
        <w:ind w:right="133" w:firstLine="0"/>
        <w:rPr>
          <w:sz w:val="20"/>
        </w:rPr>
      </w:pPr>
      <w:r>
        <w:rPr>
          <w:sz w:val="20"/>
        </w:rPr>
        <w:lastRenderedPageBreak/>
        <w:t xml:space="preserve">Only claim payments made in connection with health insurance plans regulated by </w:t>
      </w:r>
      <w:proofErr w:type="spellStart"/>
      <w:r>
        <w:rPr>
          <w:sz w:val="20"/>
        </w:rPr>
        <w:t>OIC</w:t>
      </w:r>
      <w:proofErr w:type="spellEnd"/>
      <w:r>
        <w:rPr>
          <w:sz w:val="20"/>
        </w:rPr>
        <w:t xml:space="preserve"> and self- funded</w:t>
      </w:r>
      <w:r>
        <w:rPr>
          <w:spacing w:val="-7"/>
          <w:sz w:val="20"/>
        </w:rPr>
        <w:t xml:space="preserve"> </w:t>
      </w:r>
      <w:r>
        <w:rPr>
          <w:sz w:val="20"/>
        </w:rPr>
        <w:t>group</w:t>
      </w:r>
      <w:r>
        <w:rPr>
          <w:spacing w:val="-7"/>
          <w:sz w:val="20"/>
        </w:rPr>
        <w:t xml:space="preserve"> </w:t>
      </w:r>
      <w:r>
        <w:rPr>
          <w:sz w:val="20"/>
        </w:rPr>
        <w:t>health</w:t>
      </w:r>
      <w:r>
        <w:rPr>
          <w:spacing w:val="-6"/>
          <w:sz w:val="20"/>
        </w:rPr>
        <w:t xml:space="preserve"> </w:t>
      </w:r>
      <w:r>
        <w:rPr>
          <w:sz w:val="20"/>
        </w:rPr>
        <w:t>plans</w:t>
      </w:r>
      <w:r>
        <w:rPr>
          <w:spacing w:val="-7"/>
          <w:sz w:val="20"/>
        </w:rPr>
        <w:t xml:space="preserve"> </w:t>
      </w:r>
      <w:r>
        <w:rPr>
          <w:sz w:val="20"/>
        </w:rPr>
        <w:t>that</w:t>
      </w:r>
      <w:r>
        <w:rPr>
          <w:spacing w:val="-6"/>
          <w:sz w:val="20"/>
        </w:rPr>
        <w:t xml:space="preserve"> </w:t>
      </w:r>
      <w:r>
        <w:rPr>
          <w:sz w:val="20"/>
        </w:rPr>
        <w:t>have</w:t>
      </w:r>
      <w:r>
        <w:rPr>
          <w:spacing w:val="-7"/>
          <w:sz w:val="20"/>
        </w:rPr>
        <w:t xml:space="preserve"> </w:t>
      </w:r>
      <w:r>
        <w:rPr>
          <w:sz w:val="20"/>
        </w:rPr>
        <w:t>elected</w:t>
      </w:r>
      <w:r>
        <w:rPr>
          <w:spacing w:val="-7"/>
          <w:sz w:val="20"/>
        </w:rPr>
        <w:t xml:space="preserve"> </w:t>
      </w:r>
      <w:r>
        <w:rPr>
          <w:sz w:val="20"/>
        </w:rPr>
        <w:t>to</w:t>
      </w:r>
      <w:r>
        <w:rPr>
          <w:spacing w:val="-6"/>
          <w:sz w:val="20"/>
        </w:rPr>
        <w:t xml:space="preserve"> </w:t>
      </w:r>
      <w:r>
        <w:rPr>
          <w:sz w:val="20"/>
        </w:rPr>
        <w:t>participate</w:t>
      </w:r>
      <w:r>
        <w:rPr>
          <w:spacing w:val="-7"/>
          <w:sz w:val="20"/>
        </w:rPr>
        <w:t xml:space="preserve"> </w:t>
      </w:r>
      <w:r>
        <w:rPr>
          <w:sz w:val="20"/>
        </w:rPr>
        <w:t>in</w:t>
      </w:r>
      <w:r>
        <w:rPr>
          <w:spacing w:val="-6"/>
          <w:sz w:val="20"/>
        </w:rPr>
        <w:t xml:space="preserve"> </w:t>
      </w:r>
      <w:r>
        <w:rPr>
          <w:sz w:val="20"/>
        </w:rPr>
        <w:t>balance</w:t>
      </w:r>
      <w:r>
        <w:rPr>
          <w:spacing w:val="-7"/>
          <w:sz w:val="20"/>
        </w:rPr>
        <w:t xml:space="preserve"> </w:t>
      </w:r>
      <w:r>
        <w:rPr>
          <w:sz w:val="20"/>
        </w:rPr>
        <w:t>billing</w:t>
      </w:r>
      <w:r>
        <w:rPr>
          <w:spacing w:val="-6"/>
          <w:sz w:val="20"/>
        </w:rPr>
        <w:t xml:space="preserve"> </w:t>
      </w:r>
      <w:r>
        <w:rPr>
          <w:sz w:val="20"/>
        </w:rPr>
        <w:t>protections</w:t>
      </w:r>
      <w:r>
        <w:rPr>
          <w:spacing w:val="-7"/>
          <w:sz w:val="20"/>
        </w:rPr>
        <w:t xml:space="preserve"> </w:t>
      </w:r>
      <w:r w:rsidR="00E360BD">
        <w:rPr>
          <w:spacing w:val="-7"/>
          <w:sz w:val="20"/>
        </w:rPr>
        <w:t xml:space="preserve">can use </w:t>
      </w:r>
      <w:r>
        <w:rPr>
          <w:sz w:val="20"/>
        </w:rPr>
        <w:t>the arbitration process. Examples of health insurance plans that are not included</w:t>
      </w:r>
      <w:r>
        <w:rPr>
          <w:spacing w:val="-28"/>
          <w:sz w:val="20"/>
        </w:rPr>
        <w:t xml:space="preserve"> </w:t>
      </w:r>
      <w:r>
        <w:rPr>
          <w:sz w:val="20"/>
        </w:rPr>
        <w:t>are:</w:t>
      </w:r>
    </w:p>
    <w:p w14:paraId="04E29976" w14:textId="77777777" w:rsidR="002F5275" w:rsidRDefault="009B3BF8">
      <w:pPr>
        <w:pStyle w:val="ListParagraph"/>
        <w:numPr>
          <w:ilvl w:val="0"/>
          <w:numId w:val="1"/>
        </w:numPr>
        <w:tabs>
          <w:tab w:val="left" w:pos="940"/>
          <w:tab w:val="left" w:pos="941"/>
        </w:tabs>
        <w:spacing w:line="230" w:lineRule="exact"/>
        <w:ind w:hanging="721"/>
        <w:rPr>
          <w:sz w:val="20"/>
        </w:rPr>
      </w:pPr>
      <w:r>
        <w:rPr>
          <w:sz w:val="20"/>
        </w:rPr>
        <w:t>Medicare and</w:t>
      </w:r>
      <w:r>
        <w:rPr>
          <w:spacing w:val="-3"/>
          <w:sz w:val="20"/>
        </w:rPr>
        <w:t xml:space="preserve"> </w:t>
      </w:r>
      <w:r>
        <w:rPr>
          <w:sz w:val="20"/>
        </w:rPr>
        <w:t>Medicaid</w:t>
      </w:r>
    </w:p>
    <w:p w14:paraId="0425ED4E" w14:textId="77777777" w:rsidR="002F5275" w:rsidRDefault="009B3BF8">
      <w:pPr>
        <w:pStyle w:val="ListParagraph"/>
        <w:numPr>
          <w:ilvl w:val="0"/>
          <w:numId w:val="1"/>
        </w:numPr>
        <w:tabs>
          <w:tab w:val="left" w:pos="940"/>
          <w:tab w:val="left" w:pos="941"/>
        </w:tabs>
        <w:spacing w:before="9"/>
        <w:ind w:hanging="721"/>
        <w:rPr>
          <w:sz w:val="20"/>
        </w:rPr>
      </w:pPr>
      <w:r>
        <w:rPr>
          <w:sz w:val="20"/>
        </w:rPr>
        <w:t>Federal employee benefit</w:t>
      </w:r>
      <w:r>
        <w:rPr>
          <w:spacing w:val="-4"/>
          <w:sz w:val="20"/>
        </w:rPr>
        <w:t xml:space="preserve"> </w:t>
      </w:r>
      <w:r>
        <w:rPr>
          <w:sz w:val="20"/>
        </w:rPr>
        <w:t>plans</w:t>
      </w:r>
    </w:p>
    <w:p w14:paraId="3E0D8DF8" w14:textId="77777777" w:rsidR="002F5275" w:rsidRDefault="002F5275">
      <w:pPr>
        <w:pStyle w:val="BodyText"/>
        <w:spacing w:before="6"/>
        <w:rPr>
          <w:sz w:val="21"/>
        </w:rPr>
      </w:pPr>
    </w:p>
    <w:p w14:paraId="290C4B9F" w14:textId="77777777" w:rsidR="002F5275" w:rsidRDefault="00FC6ECD">
      <w:pPr>
        <w:pStyle w:val="BodyText"/>
        <w:spacing w:line="249" w:lineRule="auto"/>
        <w:ind w:left="220" w:right="52"/>
      </w:pPr>
      <w:hyperlink r:id="rId15">
        <w:r w:rsidR="009B3BF8">
          <w:t xml:space="preserve">Please check the list of self-funded group health plans at </w:t>
        </w:r>
        <w:r w:rsidR="009B3BF8">
          <w:rPr>
            <w:color w:val="0000FF"/>
          </w:rPr>
          <w:t xml:space="preserve">https://www.insurance.wa.gov/self-funded-group- health-plans </w:t>
        </w:r>
        <w:r w:rsidR="009B3BF8">
          <w:t>to determine whether a self-funded group health plan has elected to participate in balance</w:t>
        </w:r>
      </w:hyperlink>
      <w:r w:rsidR="009B3BF8">
        <w:t xml:space="preserve"> billing protections for their members.</w:t>
      </w:r>
    </w:p>
    <w:p w14:paraId="57BDD526" w14:textId="77777777" w:rsidR="002F5275" w:rsidRDefault="002F5275">
      <w:pPr>
        <w:pStyle w:val="BodyText"/>
        <w:spacing w:before="9"/>
      </w:pPr>
    </w:p>
    <w:p w14:paraId="28A6EA19" w14:textId="77777777" w:rsidR="002F5275" w:rsidRDefault="009B3BF8">
      <w:pPr>
        <w:pStyle w:val="ListParagraph"/>
        <w:numPr>
          <w:ilvl w:val="0"/>
          <w:numId w:val="2"/>
        </w:numPr>
        <w:tabs>
          <w:tab w:val="left" w:pos="940"/>
          <w:tab w:val="left" w:pos="941"/>
        </w:tabs>
        <w:spacing w:line="249" w:lineRule="auto"/>
        <w:ind w:right="223" w:firstLine="0"/>
        <w:rPr>
          <w:sz w:val="20"/>
        </w:rPr>
      </w:pPr>
      <w:r>
        <w:rPr>
          <w:sz w:val="20"/>
        </w:rPr>
        <w:t>An out-of-network provider or facility p</w:t>
      </w:r>
      <w:r w:rsidR="00334DEC">
        <w:rPr>
          <w:sz w:val="20"/>
        </w:rPr>
        <w:t xml:space="preserve">roviding emergency, </w:t>
      </w:r>
      <w:r>
        <w:rPr>
          <w:sz w:val="20"/>
        </w:rPr>
        <w:t>surgical or ancillary services at an in-network facility may submit this request if it is believed that the payment made for the covered services was not a commercially reasonable amount. A carrier or self-funded group health plan that</w:t>
      </w:r>
      <w:r>
        <w:rPr>
          <w:spacing w:val="-6"/>
          <w:sz w:val="20"/>
        </w:rPr>
        <w:t xml:space="preserve"> </w:t>
      </w:r>
      <w:r>
        <w:rPr>
          <w:sz w:val="20"/>
        </w:rPr>
        <w:t>has</w:t>
      </w:r>
      <w:r>
        <w:rPr>
          <w:spacing w:val="-5"/>
          <w:sz w:val="20"/>
        </w:rPr>
        <w:t xml:space="preserve"> </w:t>
      </w:r>
      <w:r>
        <w:rPr>
          <w:sz w:val="20"/>
        </w:rPr>
        <w:t>elected</w:t>
      </w:r>
      <w:r>
        <w:rPr>
          <w:spacing w:val="-6"/>
          <w:sz w:val="20"/>
        </w:rPr>
        <w:t xml:space="preserve"> </w:t>
      </w:r>
      <w:r>
        <w:rPr>
          <w:sz w:val="20"/>
        </w:rPr>
        <w:t>to</w:t>
      </w:r>
      <w:r>
        <w:rPr>
          <w:spacing w:val="-5"/>
          <w:sz w:val="20"/>
        </w:rPr>
        <w:t xml:space="preserve"> </w:t>
      </w:r>
      <w:r>
        <w:rPr>
          <w:sz w:val="20"/>
        </w:rPr>
        <w:t>participate</w:t>
      </w:r>
      <w:r>
        <w:rPr>
          <w:spacing w:val="-5"/>
          <w:sz w:val="20"/>
        </w:rPr>
        <w:t xml:space="preserve"> </w:t>
      </w:r>
      <w:r>
        <w:rPr>
          <w:sz w:val="20"/>
        </w:rPr>
        <w:t>in</w:t>
      </w:r>
      <w:r>
        <w:rPr>
          <w:spacing w:val="-6"/>
          <w:sz w:val="20"/>
        </w:rPr>
        <w:t xml:space="preserve"> </w:t>
      </w:r>
      <w:r>
        <w:rPr>
          <w:sz w:val="20"/>
        </w:rPr>
        <w:t>balance</w:t>
      </w:r>
      <w:r>
        <w:rPr>
          <w:spacing w:val="-5"/>
          <w:sz w:val="20"/>
        </w:rPr>
        <w:t xml:space="preserve"> </w:t>
      </w:r>
      <w:r>
        <w:rPr>
          <w:sz w:val="20"/>
        </w:rPr>
        <w:t>billing</w:t>
      </w:r>
      <w:r>
        <w:rPr>
          <w:spacing w:val="-6"/>
          <w:sz w:val="20"/>
        </w:rPr>
        <w:t xml:space="preserve"> </w:t>
      </w:r>
      <w:r>
        <w:rPr>
          <w:sz w:val="20"/>
        </w:rPr>
        <w:t>protections</w:t>
      </w:r>
      <w:r>
        <w:rPr>
          <w:spacing w:val="-5"/>
          <w:sz w:val="20"/>
        </w:rPr>
        <w:t xml:space="preserve"> </w:t>
      </w:r>
      <w:r>
        <w:rPr>
          <w:sz w:val="20"/>
        </w:rPr>
        <w:t>for</w:t>
      </w:r>
      <w:r>
        <w:rPr>
          <w:spacing w:val="-5"/>
          <w:sz w:val="20"/>
        </w:rPr>
        <w:t xml:space="preserve"> </w:t>
      </w:r>
      <w:r>
        <w:rPr>
          <w:sz w:val="20"/>
        </w:rPr>
        <w:t>its</w:t>
      </w:r>
      <w:r>
        <w:rPr>
          <w:spacing w:val="-6"/>
          <w:sz w:val="20"/>
        </w:rPr>
        <w:t xml:space="preserve"> </w:t>
      </w:r>
      <w:r>
        <w:rPr>
          <w:sz w:val="20"/>
        </w:rPr>
        <w:t>members</w:t>
      </w:r>
      <w:r>
        <w:rPr>
          <w:spacing w:val="-5"/>
          <w:sz w:val="20"/>
        </w:rPr>
        <w:t xml:space="preserve"> </w:t>
      </w:r>
      <w:r>
        <w:rPr>
          <w:sz w:val="20"/>
        </w:rPr>
        <w:t>may</w:t>
      </w:r>
      <w:r>
        <w:rPr>
          <w:spacing w:val="-6"/>
          <w:sz w:val="20"/>
        </w:rPr>
        <w:t xml:space="preserve"> </w:t>
      </w:r>
      <w:r>
        <w:rPr>
          <w:sz w:val="20"/>
        </w:rPr>
        <w:t>also</w:t>
      </w:r>
      <w:r>
        <w:rPr>
          <w:spacing w:val="-5"/>
          <w:sz w:val="20"/>
        </w:rPr>
        <w:t xml:space="preserve"> </w:t>
      </w:r>
      <w:r>
        <w:rPr>
          <w:sz w:val="20"/>
        </w:rPr>
        <w:t>submit</w:t>
      </w:r>
      <w:r>
        <w:rPr>
          <w:spacing w:val="-5"/>
          <w:sz w:val="20"/>
        </w:rPr>
        <w:t xml:space="preserve"> </w:t>
      </w:r>
      <w:r>
        <w:rPr>
          <w:sz w:val="20"/>
        </w:rPr>
        <w:t>a</w:t>
      </w:r>
      <w:r>
        <w:rPr>
          <w:spacing w:val="-6"/>
          <w:sz w:val="20"/>
        </w:rPr>
        <w:t xml:space="preserve"> </w:t>
      </w:r>
      <w:r>
        <w:rPr>
          <w:sz w:val="20"/>
        </w:rPr>
        <w:t>request</w:t>
      </w:r>
      <w:r>
        <w:rPr>
          <w:spacing w:val="-5"/>
          <w:sz w:val="20"/>
        </w:rPr>
        <w:t xml:space="preserve"> </w:t>
      </w:r>
      <w:r>
        <w:rPr>
          <w:sz w:val="20"/>
        </w:rPr>
        <w:t>for arbitration.</w:t>
      </w:r>
    </w:p>
    <w:p w14:paraId="266F8C03" w14:textId="77777777" w:rsidR="002F5275" w:rsidRDefault="002F5275">
      <w:pPr>
        <w:pStyle w:val="BodyText"/>
        <w:spacing w:before="8"/>
      </w:pPr>
    </w:p>
    <w:p w14:paraId="205B1B25" w14:textId="77777777" w:rsidR="002F5275" w:rsidRDefault="009B3BF8">
      <w:pPr>
        <w:pStyle w:val="ListParagraph"/>
        <w:numPr>
          <w:ilvl w:val="0"/>
          <w:numId w:val="2"/>
        </w:numPr>
        <w:tabs>
          <w:tab w:val="left" w:pos="940"/>
          <w:tab w:val="left" w:pos="941"/>
        </w:tabs>
        <w:spacing w:line="249" w:lineRule="auto"/>
        <w:ind w:right="256" w:firstLine="0"/>
        <w:rPr>
          <w:sz w:val="20"/>
        </w:rPr>
      </w:pPr>
      <w:r>
        <w:rPr>
          <w:sz w:val="20"/>
        </w:rPr>
        <w:t>Upon</w:t>
      </w:r>
      <w:r>
        <w:rPr>
          <w:spacing w:val="-7"/>
          <w:sz w:val="20"/>
        </w:rPr>
        <w:t xml:space="preserve"> </w:t>
      </w:r>
      <w:proofErr w:type="spellStart"/>
      <w:r>
        <w:rPr>
          <w:sz w:val="20"/>
        </w:rPr>
        <w:t>OIC</w:t>
      </w:r>
      <w:proofErr w:type="spellEnd"/>
      <w:r>
        <w:rPr>
          <w:spacing w:val="-7"/>
          <w:sz w:val="20"/>
        </w:rPr>
        <w:t xml:space="preserve"> </w:t>
      </w:r>
      <w:r>
        <w:rPr>
          <w:sz w:val="20"/>
        </w:rPr>
        <w:t>review</w:t>
      </w:r>
      <w:r>
        <w:rPr>
          <w:spacing w:val="-6"/>
          <w:sz w:val="20"/>
        </w:rPr>
        <w:t xml:space="preserve"> </w:t>
      </w:r>
      <w:r>
        <w:rPr>
          <w:sz w:val="20"/>
        </w:rPr>
        <w:t>and</w:t>
      </w:r>
      <w:r>
        <w:rPr>
          <w:spacing w:val="-7"/>
          <w:sz w:val="20"/>
        </w:rPr>
        <w:t xml:space="preserve"> </w:t>
      </w:r>
      <w:r>
        <w:rPr>
          <w:sz w:val="20"/>
        </w:rPr>
        <w:t>acceptance</w:t>
      </w:r>
      <w:r>
        <w:rPr>
          <w:spacing w:val="-6"/>
          <w:sz w:val="20"/>
        </w:rPr>
        <w:t xml:space="preserve"> </w:t>
      </w:r>
      <w:r>
        <w:rPr>
          <w:sz w:val="20"/>
        </w:rPr>
        <w:t>of</w:t>
      </w:r>
      <w:r>
        <w:rPr>
          <w:spacing w:val="-7"/>
          <w:sz w:val="20"/>
        </w:rPr>
        <w:t xml:space="preserve"> </w:t>
      </w:r>
      <w:r>
        <w:rPr>
          <w:sz w:val="20"/>
        </w:rPr>
        <w:t>a</w:t>
      </w:r>
      <w:r>
        <w:rPr>
          <w:spacing w:val="-7"/>
          <w:sz w:val="20"/>
        </w:rPr>
        <w:t xml:space="preserve"> </w:t>
      </w:r>
      <w:r>
        <w:rPr>
          <w:sz w:val="20"/>
        </w:rPr>
        <w:t>request</w:t>
      </w:r>
      <w:r>
        <w:rPr>
          <w:spacing w:val="-6"/>
          <w:sz w:val="20"/>
        </w:rPr>
        <w:t xml:space="preserve"> </w:t>
      </w:r>
      <w:r>
        <w:rPr>
          <w:sz w:val="20"/>
        </w:rPr>
        <w:t>for</w:t>
      </w:r>
      <w:r>
        <w:rPr>
          <w:spacing w:val="-7"/>
          <w:sz w:val="20"/>
        </w:rPr>
        <w:t xml:space="preserve"> </w:t>
      </w:r>
      <w:r>
        <w:rPr>
          <w:sz w:val="20"/>
        </w:rPr>
        <w:t>arbitration,</w:t>
      </w:r>
      <w:r>
        <w:rPr>
          <w:spacing w:val="-7"/>
          <w:sz w:val="20"/>
        </w:rPr>
        <w:t xml:space="preserve"> </w:t>
      </w:r>
      <w:r>
        <w:rPr>
          <w:sz w:val="20"/>
        </w:rPr>
        <w:t>both</w:t>
      </w:r>
      <w:r>
        <w:rPr>
          <w:spacing w:val="-6"/>
          <w:sz w:val="20"/>
        </w:rPr>
        <w:t xml:space="preserve"> </w:t>
      </w:r>
      <w:r>
        <w:rPr>
          <w:sz w:val="20"/>
        </w:rPr>
        <w:t>the</w:t>
      </w:r>
      <w:r>
        <w:rPr>
          <w:spacing w:val="-7"/>
          <w:sz w:val="20"/>
        </w:rPr>
        <w:t xml:space="preserve"> </w:t>
      </w:r>
      <w:r>
        <w:rPr>
          <w:sz w:val="20"/>
        </w:rPr>
        <w:t>initiating</w:t>
      </w:r>
      <w:r>
        <w:rPr>
          <w:spacing w:val="-6"/>
          <w:sz w:val="20"/>
        </w:rPr>
        <w:t xml:space="preserve"> </w:t>
      </w:r>
      <w:r>
        <w:rPr>
          <w:sz w:val="20"/>
        </w:rPr>
        <w:t>and</w:t>
      </w:r>
      <w:r>
        <w:rPr>
          <w:spacing w:val="-7"/>
          <w:sz w:val="20"/>
        </w:rPr>
        <w:t xml:space="preserve"> </w:t>
      </w:r>
      <w:r>
        <w:rPr>
          <w:sz w:val="20"/>
        </w:rPr>
        <w:t xml:space="preserve">non-initiating parties will be provided with a list of approved arbitrators and arbitration entities by </w:t>
      </w:r>
      <w:proofErr w:type="spellStart"/>
      <w:r>
        <w:rPr>
          <w:sz w:val="20"/>
        </w:rPr>
        <w:t>OIC</w:t>
      </w:r>
      <w:proofErr w:type="spellEnd"/>
      <w:r>
        <w:rPr>
          <w:sz w:val="20"/>
        </w:rPr>
        <w:t>. If the parties</w:t>
      </w:r>
      <w:r>
        <w:rPr>
          <w:spacing w:val="-5"/>
          <w:sz w:val="20"/>
        </w:rPr>
        <w:t xml:space="preserve"> </w:t>
      </w:r>
      <w:r>
        <w:rPr>
          <w:sz w:val="20"/>
        </w:rPr>
        <w:t>cannot</w:t>
      </w:r>
      <w:r>
        <w:rPr>
          <w:spacing w:val="-4"/>
          <w:sz w:val="20"/>
        </w:rPr>
        <w:t xml:space="preserve"> </w:t>
      </w:r>
      <w:r>
        <w:rPr>
          <w:sz w:val="20"/>
        </w:rPr>
        <w:t>agree</w:t>
      </w:r>
      <w:r>
        <w:rPr>
          <w:spacing w:val="-5"/>
          <w:sz w:val="20"/>
        </w:rPr>
        <w:t xml:space="preserve"> </w:t>
      </w:r>
      <w:r>
        <w:rPr>
          <w:sz w:val="20"/>
        </w:rPr>
        <w:t>on</w:t>
      </w:r>
      <w:r>
        <w:rPr>
          <w:spacing w:val="-4"/>
          <w:sz w:val="20"/>
        </w:rPr>
        <w:t xml:space="preserve"> </w:t>
      </w:r>
      <w:r>
        <w:rPr>
          <w:sz w:val="20"/>
        </w:rPr>
        <w:t>an</w:t>
      </w:r>
      <w:r>
        <w:rPr>
          <w:spacing w:val="-5"/>
          <w:sz w:val="20"/>
        </w:rPr>
        <w:t xml:space="preserve"> </w:t>
      </w:r>
      <w:r>
        <w:rPr>
          <w:sz w:val="20"/>
        </w:rPr>
        <w:t>arbitrator</w:t>
      </w:r>
      <w:r>
        <w:rPr>
          <w:spacing w:val="-4"/>
          <w:sz w:val="20"/>
        </w:rPr>
        <w:t xml:space="preserve"> </w:t>
      </w:r>
      <w:r>
        <w:rPr>
          <w:sz w:val="20"/>
        </w:rPr>
        <w:t>or</w:t>
      </w:r>
      <w:r>
        <w:rPr>
          <w:spacing w:val="-5"/>
          <w:sz w:val="20"/>
        </w:rPr>
        <w:t xml:space="preserve"> </w:t>
      </w:r>
      <w:r>
        <w:rPr>
          <w:sz w:val="20"/>
        </w:rPr>
        <w:t>arbitration</w:t>
      </w:r>
      <w:r>
        <w:rPr>
          <w:spacing w:val="-4"/>
          <w:sz w:val="20"/>
        </w:rPr>
        <w:t xml:space="preserve"> </w:t>
      </w:r>
      <w:r>
        <w:rPr>
          <w:sz w:val="20"/>
        </w:rPr>
        <w:t>entity,</w:t>
      </w:r>
      <w:r>
        <w:rPr>
          <w:spacing w:val="-5"/>
          <w:sz w:val="20"/>
        </w:rPr>
        <w:t xml:space="preserve"> </w:t>
      </w:r>
      <w:proofErr w:type="spellStart"/>
      <w:r>
        <w:rPr>
          <w:sz w:val="20"/>
        </w:rPr>
        <w:t>OIC</w:t>
      </w:r>
      <w:proofErr w:type="spellEnd"/>
      <w:r>
        <w:rPr>
          <w:spacing w:val="-4"/>
          <w:sz w:val="20"/>
        </w:rPr>
        <w:t xml:space="preserve"> </w:t>
      </w:r>
      <w:r>
        <w:rPr>
          <w:sz w:val="20"/>
        </w:rPr>
        <w:t>will</w:t>
      </w:r>
      <w:r>
        <w:rPr>
          <w:spacing w:val="-5"/>
          <w:sz w:val="20"/>
        </w:rPr>
        <w:t xml:space="preserve"> </w:t>
      </w:r>
      <w:r>
        <w:rPr>
          <w:sz w:val="20"/>
        </w:rPr>
        <w:t>choose</w:t>
      </w:r>
      <w:r>
        <w:rPr>
          <w:spacing w:val="-4"/>
          <w:sz w:val="20"/>
        </w:rPr>
        <w:t xml:space="preserve"> </w:t>
      </w:r>
      <w:r>
        <w:rPr>
          <w:sz w:val="20"/>
        </w:rPr>
        <w:t>one</w:t>
      </w:r>
      <w:r>
        <w:rPr>
          <w:spacing w:val="-5"/>
          <w:sz w:val="20"/>
        </w:rPr>
        <w:t xml:space="preserve"> </w:t>
      </w:r>
      <w:r>
        <w:rPr>
          <w:sz w:val="20"/>
        </w:rPr>
        <w:t>and</w:t>
      </w:r>
      <w:r>
        <w:rPr>
          <w:spacing w:val="-4"/>
          <w:sz w:val="20"/>
        </w:rPr>
        <w:t xml:space="preserve"> </w:t>
      </w:r>
      <w:r>
        <w:rPr>
          <w:sz w:val="20"/>
        </w:rPr>
        <w:t>notify</w:t>
      </w:r>
      <w:r>
        <w:rPr>
          <w:spacing w:val="-5"/>
          <w:sz w:val="20"/>
        </w:rPr>
        <w:t xml:space="preserve"> </w:t>
      </w:r>
      <w:r>
        <w:rPr>
          <w:sz w:val="20"/>
        </w:rPr>
        <w:t>the</w:t>
      </w:r>
      <w:r>
        <w:rPr>
          <w:spacing w:val="-4"/>
          <w:sz w:val="20"/>
        </w:rPr>
        <w:t xml:space="preserve"> </w:t>
      </w:r>
      <w:r>
        <w:rPr>
          <w:sz w:val="20"/>
        </w:rPr>
        <w:t>parties</w:t>
      </w:r>
      <w:r w:rsidR="00FF56E0">
        <w:rPr>
          <w:sz w:val="20"/>
        </w:rPr>
        <w:t>, using the process outlined in WAC 284-43B-030(5</w:t>
      </w:r>
      <w:r w:rsidR="00FF56E0" w:rsidRPr="00FF56E0">
        <w:rPr>
          <w:sz w:val="20"/>
          <w:szCs w:val="20"/>
        </w:rPr>
        <w:t>)</w:t>
      </w:r>
      <w:r w:rsidRPr="00FF56E0">
        <w:rPr>
          <w:sz w:val="20"/>
          <w:szCs w:val="20"/>
        </w:rPr>
        <w:t>.</w:t>
      </w:r>
      <w:r w:rsidR="00FF56E0" w:rsidRPr="00FF56E0">
        <w:rPr>
          <w:sz w:val="20"/>
          <w:szCs w:val="20"/>
        </w:rPr>
        <w:t xml:space="preserve">  </w:t>
      </w:r>
      <w:r w:rsidR="00334DEC">
        <w:rPr>
          <w:sz w:val="20"/>
          <w:szCs w:val="20"/>
        </w:rPr>
        <w:t xml:space="preserve">Within </w:t>
      </w:r>
      <w:r w:rsidR="003C5D19">
        <w:rPr>
          <w:sz w:val="20"/>
          <w:szCs w:val="20"/>
        </w:rPr>
        <w:t>10</w:t>
      </w:r>
      <w:r w:rsidR="00FF56E0">
        <w:rPr>
          <w:sz w:val="20"/>
          <w:szCs w:val="20"/>
        </w:rPr>
        <w:t xml:space="preserve"> business days of the initiating</w:t>
      </w:r>
      <w:r w:rsidR="00FF56E0" w:rsidRPr="00FF56E0">
        <w:rPr>
          <w:sz w:val="20"/>
          <w:szCs w:val="20"/>
        </w:rPr>
        <w:t xml:space="preserve"> party notifying the commissioner and the non</w:t>
      </w:r>
      <w:r w:rsidR="00113B45">
        <w:rPr>
          <w:sz w:val="20"/>
          <w:szCs w:val="20"/>
        </w:rPr>
        <w:t>-</w:t>
      </w:r>
      <w:r w:rsidR="00FF56E0" w:rsidRPr="00FF56E0">
        <w:rPr>
          <w:sz w:val="20"/>
          <w:szCs w:val="20"/>
        </w:rPr>
        <w:t xml:space="preserve">initiating party of intent to initiate arbitration, both parties </w:t>
      </w:r>
      <w:r w:rsidR="00FF56E0">
        <w:rPr>
          <w:sz w:val="20"/>
          <w:szCs w:val="20"/>
        </w:rPr>
        <w:t xml:space="preserve">must </w:t>
      </w:r>
      <w:r w:rsidR="00FF56E0" w:rsidRPr="00FF56E0">
        <w:rPr>
          <w:sz w:val="20"/>
          <w:szCs w:val="20"/>
        </w:rPr>
        <w:t>agree to and execute a nondisclosure agreement.</w:t>
      </w:r>
    </w:p>
    <w:p w14:paraId="622D1BED" w14:textId="77777777" w:rsidR="002F5275" w:rsidRDefault="002F5275">
      <w:pPr>
        <w:pStyle w:val="BodyText"/>
        <w:spacing w:before="9"/>
      </w:pPr>
    </w:p>
    <w:p w14:paraId="779549DB" w14:textId="77777777" w:rsidR="002F5275" w:rsidRDefault="009B3BF8">
      <w:pPr>
        <w:pStyle w:val="ListParagraph"/>
        <w:numPr>
          <w:ilvl w:val="0"/>
          <w:numId w:val="2"/>
        </w:numPr>
        <w:tabs>
          <w:tab w:val="left" w:pos="940"/>
          <w:tab w:val="left" w:pos="941"/>
        </w:tabs>
        <w:spacing w:line="249" w:lineRule="auto"/>
        <w:ind w:right="111" w:firstLine="0"/>
        <w:rPr>
          <w:sz w:val="20"/>
        </w:rPr>
      </w:pPr>
      <w:r>
        <w:rPr>
          <w:sz w:val="20"/>
        </w:rPr>
        <w:t xml:space="preserve">Once the arbitrator has been chosen, </w:t>
      </w:r>
      <w:proofErr w:type="spellStart"/>
      <w:r>
        <w:rPr>
          <w:sz w:val="20"/>
        </w:rPr>
        <w:t>OIC</w:t>
      </w:r>
      <w:proofErr w:type="spellEnd"/>
      <w:r>
        <w:rPr>
          <w:sz w:val="20"/>
        </w:rPr>
        <w:t xml:space="preserve"> will send the arbitrator/arbitration entity a copy of the Arbitration Initiation Request </w:t>
      </w:r>
      <w:r w:rsidR="00334DEC">
        <w:rPr>
          <w:sz w:val="20"/>
        </w:rPr>
        <w:t xml:space="preserve">Form and both parties will have </w:t>
      </w:r>
      <w:r>
        <w:rPr>
          <w:sz w:val="20"/>
        </w:rPr>
        <w:t xml:space="preserve">30 days to make written submissions to the arbitrator. A party that fails to make timely written submissions without good cause shown will </w:t>
      </w:r>
      <w:proofErr w:type="gramStart"/>
      <w:r>
        <w:rPr>
          <w:sz w:val="20"/>
        </w:rPr>
        <w:t>be considered to be</w:t>
      </w:r>
      <w:proofErr w:type="gramEnd"/>
      <w:r>
        <w:rPr>
          <w:sz w:val="20"/>
        </w:rPr>
        <w:t xml:space="preserve"> in default and will be ordered to pay the final offer amount submitted by the party not in default. They arbitrator also can require the party in default to pay expenses incurred to date in the course of arbitration, including the arbitrator's expenses and fees and the reasonable attorneys' fees of the party not in</w:t>
      </w:r>
      <w:r>
        <w:rPr>
          <w:spacing w:val="-3"/>
          <w:sz w:val="20"/>
        </w:rPr>
        <w:t xml:space="preserve"> </w:t>
      </w:r>
      <w:r>
        <w:rPr>
          <w:sz w:val="20"/>
        </w:rPr>
        <w:t>default.</w:t>
      </w:r>
    </w:p>
    <w:p w14:paraId="353F52F1" w14:textId="77777777" w:rsidR="002F5275" w:rsidRDefault="002F5275">
      <w:pPr>
        <w:pStyle w:val="BodyText"/>
        <w:spacing w:before="8"/>
      </w:pPr>
    </w:p>
    <w:p w14:paraId="595DAF1B" w14:textId="77777777" w:rsidR="002F5275" w:rsidRDefault="009B3BF8">
      <w:pPr>
        <w:pStyle w:val="ListParagraph"/>
        <w:numPr>
          <w:ilvl w:val="0"/>
          <w:numId w:val="2"/>
        </w:numPr>
        <w:tabs>
          <w:tab w:val="left" w:pos="940"/>
          <w:tab w:val="left" w:pos="941"/>
        </w:tabs>
        <w:spacing w:line="249" w:lineRule="auto"/>
        <w:ind w:right="117" w:firstLine="0"/>
        <w:rPr>
          <w:sz w:val="20"/>
        </w:rPr>
      </w:pPr>
      <w:r>
        <w:rPr>
          <w:sz w:val="20"/>
        </w:rPr>
        <w:t>No</w:t>
      </w:r>
      <w:r>
        <w:rPr>
          <w:spacing w:val="-6"/>
          <w:sz w:val="20"/>
        </w:rPr>
        <w:t xml:space="preserve"> </w:t>
      </w:r>
      <w:r>
        <w:rPr>
          <w:sz w:val="20"/>
        </w:rPr>
        <w:t>later</w:t>
      </w:r>
      <w:r>
        <w:rPr>
          <w:spacing w:val="-5"/>
          <w:sz w:val="20"/>
        </w:rPr>
        <w:t xml:space="preserve"> </w:t>
      </w:r>
      <w:r>
        <w:rPr>
          <w:sz w:val="20"/>
        </w:rPr>
        <w:t>than</w:t>
      </w:r>
      <w:r>
        <w:rPr>
          <w:spacing w:val="-5"/>
          <w:sz w:val="20"/>
        </w:rPr>
        <w:t xml:space="preserve"> </w:t>
      </w:r>
      <w:r w:rsidR="00334DEC">
        <w:rPr>
          <w:spacing w:val="-5"/>
          <w:sz w:val="20"/>
        </w:rPr>
        <w:t>30</w:t>
      </w:r>
      <w:r w:rsidR="003C5D19">
        <w:rPr>
          <w:spacing w:val="-5"/>
          <w:sz w:val="20"/>
        </w:rPr>
        <w:t xml:space="preserve"> </w:t>
      </w:r>
      <w:r>
        <w:rPr>
          <w:sz w:val="20"/>
        </w:rPr>
        <w:t>calendar</w:t>
      </w:r>
      <w:r>
        <w:rPr>
          <w:spacing w:val="-6"/>
          <w:sz w:val="20"/>
        </w:rPr>
        <w:t xml:space="preserve"> </w:t>
      </w:r>
      <w:r>
        <w:rPr>
          <w:sz w:val="20"/>
        </w:rPr>
        <w:t>days</w:t>
      </w:r>
      <w:r>
        <w:rPr>
          <w:spacing w:val="-5"/>
          <w:sz w:val="20"/>
        </w:rPr>
        <w:t xml:space="preserve"> </w:t>
      </w:r>
      <w:r>
        <w:rPr>
          <w:sz w:val="20"/>
        </w:rPr>
        <w:t>after</w:t>
      </w:r>
      <w:r>
        <w:rPr>
          <w:spacing w:val="-5"/>
          <w:sz w:val="20"/>
        </w:rPr>
        <w:t xml:space="preserve"> </w:t>
      </w:r>
      <w:r>
        <w:rPr>
          <w:sz w:val="20"/>
        </w:rPr>
        <w:t>the</w:t>
      </w:r>
      <w:r>
        <w:rPr>
          <w:spacing w:val="-5"/>
          <w:sz w:val="20"/>
        </w:rPr>
        <w:t xml:space="preserve"> </w:t>
      </w:r>
      <w:r>
        <w:rPr>
          <w:sz w:val="20"/>
        </w:rPr>
        <w:t>receipt</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parties'</w:t>
      </w:r>
      <w:r>
        <w:rPr>
          <w:spacing w:val="-5"/>
          <w:sz w:val="20"/>
        </w:rPr>
        <w:t xml:space="preserve"> </w:t>
      </w:r>
      <w:r>
        <w:rPr>
          <w:sz w:val="20"/>
        </w:rPr>
        <w:t>written</w:t>
      </w:r>
      <w:r>
        <w:rPr>
          <w:spacing w:val="-6"/>
          <w:sz w:val="20"/>
        </w:rPr>
        <w:t xml:space="preserve"> </w:t>
      </w:r>
      <w:r>
        <w:rPr>
          <w:sz w:val="20"/>
        </w:rPr>
        <w:t>submissions,</w:t>
      </w:r>
      <w:r>
        <w:rPr>
          <w:spacing w:val="-5"/>
          <w:sz w:val="20"/>
        </w:rPr>
        <w:t xml:space="preserve"> </w:t>
      </w:r>
      <w:r>
        <w:rPr>
          <w:sz w:val="20"/>
        </w:rPr>
        <w:t>the</w:t>
      </w:r>
      <w:r>
        <w:rPr>
          <w:spacing w:val="-5"/>
          <w:sz w:val="20"/>
        </w:rPr>
        <w:t xml:space="preserve"> </w:t>
      </w:r>
      <w:r>
        <w:rPr>
          <w:sz w:val="20"/>
        </w:rPr>
        <w:t>arbitrator will: Issue a written decision requiring payment of the final offer amount of either the initiating party or the non</w:t>
      </w:r>
      <w:r w:rsidR="00113B45">
        <w:rPr>
          <w:sz w:val="20"/>
        </w:rPr>
        <w:t>-</w:t>
      </w:r>
      <w:r>
        <w:rPr>
          <w:sz w:val="20"/>
        </w:rPr>
        <w:t>initiating</w:t>
      </w:r>
      <w:r>
        <w:rPr>
          <w:spacing w:val="-8"/>
          <w:sz w:val="20"/>
        </w:rPr>
        <w:t xml:space="preserve"> </w:t>
      </w:r>
      <w:r>
        <w:rPr>
          <w:sz w:val="20"/>
        </w:rPr>
        <w:t>party</w:t>
      </w:r>
      <w:r w:rsidR="003C5D19">
        <w:rPr>
          <w:sz w:val="20"/>
        </w:rPr>
        <w:t>,</w:t>
      </w:r>
      <w:r>
        <w:rPr>
          <w:spacing w:val="-7"/>
          <w:sz w:val="20"/>
        </w:rPr>
        <w:t xml:space="preserve"> </w:t>
      </w:r>
      <w:r>
        <w:rPr>
          <w:sz w:val="20"/>
        </w:rPr>
        <w:t>notify</w:t>
      </w:r>
      <w:r>
        <w:rPr>
          <w:spacing w:val="-8"/>
          <w:sz w:val="20"/>
        </w:rPr>
        <w:t xml:space="preserve"> </w:t>
      </w:r>
      <w:r>
        <w:rPr>
          <w:sz w:val="20"/>
        </w:rPr>
        <w:t>the</w:t>
      </w:r>
      <w:r>
        <w:rPr>
          <w:spacing w:val="-7"/>
          <w:sz w:val="20"/>
        </w:rPr>
        <w:t xml:space="preserve"> </w:t>
      </w:r>
      <w:r>
        <w:rPr>
          <w:sz w:val="20"/>
        </w:rPr>
        <w:t>parties</w:t>
      </w:r>
      <w:r>
        <w:rPr>
          <w:spacing w:val="-8"/>
          <w:sz w:val="20"/>
        </w:rPr>
        <w:t xml:space="preserve"> </w:t>
      </w:r>
      <w:r>
        <w:rPr>
          <w:sz w:val="20"/>
        </w:rPr>
        <w:t>of</w:t>
      </w:r>
      <w:r>
        <w:rPr>
          <w:spacing w:val="-7"/>
          <w:sz w:val="20"/>
        </w:rPr>
        <w:t xml:space="preserve"> </w:t>
      </w:r>
      <w:r>
        <w:rPr>
          <w:sz w:val="20"/>
        </w:rPr>
        <w:t>its</w:t>
      </w:r>
      <w:r>
        <w:rPr>
          <w:spacing w:val="-8"/>
          <w:sz w:val="20"/>
        </w:rPr>
        <w:t xml:space="preserve"> </w:t>
      </w:r>
      <w:r>
        <w:rPr>
          <w:sz w:val="20"/>
        </w:rPr>
        <w:t>decision</w:t>
      </w:r>
      <w:r w:rsidR="003C5D19">
        <w:rPr>
          <w:sz w:val="20"/>
        </w:rPr>
        <w:t>,</w:t>
      </w:r>
      <w:r>
        <w:rPr>
          <w:spacing w:val="-7"/>
          <w:sz w:val="20"/>
        </w:rPr>
        <w:t xml:space="preserve"> </w:t>
      </w:r>
      <w:r>
        <w:rPr>
          <w:sz w:val="20"/>
        </w:rPr>
        <w:t>and</w:t>
      </w:r>
      <w:r>
        <w:rPr>
          <w:spacing w:val="-8"/>
          <w:sz w:val="20"/>
        </w:rPr>
        <w:t xml:space="preserve"> </w:t>
      </w:r>
      <w:r>
        <w:rPr>
          <w:sz w:val="20"/>
        </w:rPr>
        <w:t>provide</w:t>
      </w:r>
      <w:r>
        <w:rPr>
          <w:spacing w:val="-7"/>
          <w:sz w:val="20"/>
        </w:rPr>
        <w:t xml:space="preserve"> </w:t>
      </w:r>
      <w:r>
        <w:rPr>
          <w:sz w:val="20"/>
        </w:rPr>
        <w:t>the</w:t>
      </w:r>
      <w:r>
        <w:rPr>
          <w:spacing w:val="-8"/>
          <w:sz w:val="20"/>
        </w:rPr>
        <w:t xml:space="preserve"> </w:t>
      </w:r>
      <w:r>
        <w:rPr>
          <w:sz w:val="20"/>
        </w:rPr>
        <w:t>decision</w:t>
      </w:r>
      <w:r>
        <w:rPr>
          <w:spacing w:val="-7"/>
          <w:sz w:val="20"/>
        </w:rPr>
        <w:t xml:space="preserve"> </w:t>
      </w:r>
      <w:r>
        <w:rPr>
          <w:sz w:val="20"/>
        </w:rPr>
        <w:t>a</w:t>
      </w:r>
      <w:r w:rsidR="003C5D19">
        <w:rPr>
          <w:sz w:val="20"/>
        </w:rPr>
        <w:t>s well as</w:t>
      </w:r>
      <w:r>
        <w:rPr>
          <w:spacing w:val="-7"/>
          <w:sz w:val="20"/>
        </w:rPr>
        <w:t xml:space="preserve"> </w:t>
      </w:r>
      <w:r>
        <w:rPr>
          <w:sz w:val="20"/>
        </w:rPr>
        <w:t>the</w:t>
      </w:r>
      <w:r>
        <w:rPr>
          <w:spacing w:val="-8"/>
          <w:sz w:val="20"/>
        </w:rPr>
        <w:t xml:space="preserve"> </w:t>
      </w:r>
      <w:r>
        <w:rPr>
          <w:sz w:val="20"/>
        </w:rPr>
        <w:t>information</w:t>
      </w:r>
      <w:r>
        <w:rPr>
          <w:spacing w:val="-7"/>
          <w:sz w:val="20"/>
        </w:rPr>
        <w:t xml:space="preserve"> </w:t>
      </w:r>
      <w:r>
        <w:rPr>
          <w:sz w:val="20"/>
        </w:rPr>
        <w:t>described in RCW 48.49.050 regarding the decision to</w:t>
      </w:r>
      <w:r w:rsidR="00E360BD">
        <w:rPr>
          <w:sz w:val="20"/>
        </w:rPr>
        <w:t xml:space="preserve"> </w:t>
      </w:r>
      <w:proofErr w:type="spellStart"/>
      <w:r w:rsidR="00E360BD">
        <w:rPr>
          <w:sz w:val="20"/>
        </w:rPr>
        <w:t>OIC</w:t>
      </w:r>
      <w:proofErr w:type="spellEnd"/>
      <w:r>
        <w:rPr>
          <w:sz w:val="20"/>
        </w:rPr>
        <w:t>.</w:t>
      </w:r>
    </w:p>
    <w:sectPr w:rsidR="002F5275">
      <w:pgSz w:w="12240" w:h="15840"/>
      <w:pgMar w:top="1120" w:right="13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8179" w14:textId="77777777" w:rsidR="00FC6ECD" w:rsidRDefault="00FC6ECD" w:rsidP="00265736">
      <w:r>
        <w:separator/>
      </w:r>
    </w:p>
  </w:endnote>
  <w:endnote w:type="continuationSeparator" w:id="0">
    <w:p w14:paraId="1233658E" w14:textId="77777777" w:rsidR="00FC6ECD" w:rsidRDefault="00FC6ECD" w:rsidP="0026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8656" w14:textId="323147D7" w:rsidR="00C73DB4" w:rsidRPr="00C73DB4" w:rsidRDefault="00C73DB4">
    <w:pPr>
      <w:pStyle w:val="Footer"/>
      <w:rPr>
        <w:sz w:val="20"/>
        <w:szCs w:val="20"/>
      </w:rPr>
    </w:pPr>
    <w:r w:rsidRPr="00C85AF8">
      <w:rPr>
        <w:sz w:val="20"/>
        <w:szCs w:val="20"/>
      </w:rPr>
      <w:t>BH2776 05/2020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8B97" w14:textId="6274F22A" w:rsidR="00C85AF8" w:rsidRPr="00C85AF8" w:rsidRDefault="00C85AF8">
    <w:pPr>
      <w:pStyle w:val="Footer"/>
      <w:rPr>
        <w:sz w:val="20"/>
        <w:szCs w:val="20"/>
      </w:rPr>
    </w:pPr>
    <w:r w:rsidRPr="00C85AF8">
      <w:rPr>
        <w:sz w:val="20"/>
        <w:szCs w:val="20"/>
      </w:rPr>
      <w:t>BH2776 05/2020</w:t>
    </w:r>
  </w:p>
  <w:p w14:paraId="6B4EA763" w14:textId="050B844F" w:rsidR="005A074C" w:rsidRDefault="005A074C" w:rsidP="002A6A7D">
    <w:pPr>
      <w:spacing w:before="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8814" w14:textId="77777777" w:rsidR="00FC6ECD" w:rsidRDefault="00FC6ECD" w:rsidP="00265736">
      <w:r>
        <w:separator/>
      </w:r>
    </w:p>
  </w:footnote>
  <w:footnote w:type="continuationSeparator" w:id="0">
    <w:p w14:paraId="2D8BD2B9" w14:textId="77777777" w:rsidR="00FC6ECD" w:rsidRDefault="00FC6ECD" w:rsidP="0026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346C1"/>
    <w:multiLevelType w:val="hybridMultilevel"/>
    <w:tmpl w:val="4AC021B2"/>
    <w:lvl w:ilvl="0" w:tplc="FACC13EA">
      <w:numFmt w:val="bullet"/>
      <w:lvlText w:val="•"/>
      <w:lvlJc w:val="left"/>
      <w:pPr>
        <w:ind w:left="2161" w:hanging="720"/>
      </w:pPr>
      <w:rPr>
        <w:rFonts w:ascii="Arial" w:eastAsia="Arial" w:hAnsi="Arial" w:cs="Arial" w:hint="default"/>
        <w:w w:val="99"/>
        <w:sz w:val="20"/>
        <w:szCs w:val="20"/>
        <w:lang w:val="en-US" w:eastAsia="en-US" w:bidi="en-US"/>
      </w:rPr>
    </w:lvl>
    <w:lvl w:ilvl="1" w:tplc="3C04CB1C">
      <w:numFmt w:val="bullet"/>
      <w:lvlText w:val="•"/>
      <w:lvlJc w:val="left"/>
      <w:pPr>
        <w:ind w:left="3037" w:hanging="720"/>
      </w:pPr>
      <w:rPr>
        <w:rFonts w:hint="default"/>
        <w:lang w:val="en-US" w:eastAsia="en-US" w:bidi="en-US"/>
      </w:rPr>
    </w:lvl>
    <w:lvl w:ilvl="2" w:tplc="88CEC2C4">
      <w:numFmt w:val="bullet"/>
      <w:lvlText w:val="•"/>
      <w:lvlJc w:val="left"/>
      <w:pPr>
        <w:ind w:left="3913" w:hanging="720"/>
      </w:pPr>
      <w:rPr>
        <w:rFonts w:hint="default"/>
        <w:lang w:val="en-US" w:eastAsia="en-US" w:bidi="en-US"/>
      </w:rPr>
    </w:lvl>
    <w:lvl w:ilvl="3" w:tplc="7FCE5F22">
      <w:numFmt w:val="bullet"/>
      <w:lvlText w:val="•"/>
      <w:lvlJc w:val="left"/>
      <w:pPr>
        <w:ind w:left="4789" w:hanging="720"/>
      </w:pPr>
      <w:rPr>
        <w:rFonts w:hint="default"/>
        <w:lang w:val="en-US" w:eastAsia="en-US" w:bidi="en-US"/>
      </w:rPr>
    </w:lvl>
    <w:lvl w:ilvl="4" w:tplc="16622658">
      <w:numFmt w:val="bullet"/>
      <w:lvlText w:val="•"/>
      <w:lvlJc w:val="left"/>
      <w:pPr>
        <w:ind w:left="5665" w:hanging="720"/>
      </w:pPr>
      <w:rPr>
        <w:rFonts w:hint="default"/>
        <w:lang w:val="en-US" w:eastAsia="en-US" w:bidi="en-US"/>
      </w:rPr>
    </w:lvl>
    <w:lvl w:ilvl="5" w:tplc="79A66620">
      <w:numFmt w:val="bullet"/>
      <w:lvlText w:val="•"/>
      <w:lvlJc w:val="left"/>
      <w:pPr>
        <w:ind w:left="6541" w:hanging="720"/>
      </w:pPr>
      <w:rPr>
        <w:rFonts w:hint="default"/>
        <w:lang w:val="en-US" w:eastAsia="en-US" w:bidi="en-US"/>
      </w:rPr>
    </w:lvl>
    <w:lvl w:ilvl="6" w:tplc="51882ADC">
      <w:numFmt w:val="bullet"/>
      <w:lvlText w:val="•"/>
      <w:lvlJc w:val="left"/>
      <w:pPr>
        <w:ind w:left="7417" w:hanging="720"/>
      </w:pPr>
      <w:rPr>
        <w:rFonts w:hint="default"/>
        <w:lang w:val="en-US" w:eastAsia="en-US" w:bidi="en-US"/>
      </w:rPr>
    </w:lvl>
    <w:lvl w:ilvl="7" w:tplc="91E472CE">
      <w:numFmt w:val="bullet"/>
      <w:lvlText w:val="•"/>
      <w:lvlJc w:val="left"/>
      <w:pPr>
        <w:ind w:left="8293" w:hanging="720"/>
      </w:pPr>
      <w:rPr>
        <w:rFonts w:hint="default"/>
        <w:lang w:val="en-US" w:eastAsia="en-US" w:bidi="en-US"/>
      </w:rPr>
    </w:lvl>
    <w:lvl w:ilvl="8" w:tplc="B1189356">
      <w:numFmt w:val="bullet"/>
      <w:lvlText w:val="•"/>
      <w:lvlJc w:val="left"/>
      <w:pPr>
        <w:ind w:left="9169" w:hanging="720"/>
      </w:pPr>
      <w:rPr>
        <w:rFonts w:hint="default"/>
        <w:lang w:val="en-US" w:eastAsia="en-US" w:bidi="en-US"/>
      </w:rPr>
    </w:lvl>
  </w:abstractNum>
  <w:abstractNum w:abstractNumId="1" w15:restartNumberingAfterBreak="0">
    <w:nsid w:val="716F708B"/>
    <w:multiLevelType w:val="hybridMultilevel"/>
    <w:tmpl w:val="A816E454"/>
    <w:lvl w:ilvl="0" w:tplc="0E7C25D6">
      <w:start w:val="1"/>
      <w:numFmt w:val="decimal"/>
      <w:lvlText w:val="%1."/>
      <w:lvlJc w:val="left"/>
      <w:pPr>
        <w:ind w:left="220" w:hanging="720"/>
        <w:jc w:val="left"/>
      </w:pPr>
      <w:rPr>
        <w:rFonts w:ascii="Arial" w:eastAsia="Arial" w:hAnsi="Arial" w:cs="Arial" w:hint="default"/>
        <w:spacing w:val="-1"/>
        <w:w w:val="99"/>
        <w:sz w:val="20"/>
        <w:szCs w:val="20"/>
        <w:lang w:val="en-US" w:eastAsia="en-US" w:bidi="en-US"/>
      </w:rPr>
    </w:lvl>
    <w:lvl w:ilvl="1" w:tplc="072EC47A">
      <w:numFmt w:val="bullet"/>
      <w:lvlText w:val="•"/>
      <w:lvlJc w:val="left"/>
      <w:pPr>
        <w:ind w:left="1168" w:hanging="720"/>
      </w:pPr>
      <w:rPr>
        <w:rFonts w:hint="default"/>
        <w:lang w:val="en-US" w:eastAsia="en-US" w:bidi="en-US"/>
      </w:rPr>
    </w:lvl>
    <w:lvl w:ilvl="2" w:tplc="24F414A6">
      <w:numFmt w:val="bullet"/>
      <w:lvlText w:val="•"/>
      <w:lvlJc w:val="left"/>
      <w:pPr>
        <w:ind w:left="2116" w:hanging="720"/>
      </w:pPr>
      <w:rPr>
        <w:rFonts w:hint="default"/>
        <w:lang w:val="en-US" w:eastAsia="en-US" w:bidi="en-US"/>
      </w:rPr>
    </w:lvl>
    <w:lvl w:ilvl="3" w:tplc="619AF06C">
      <w:numFmt w:val="bullet"/>
      <w:lvlText w:val="•"/>
      <w:lvlJc w:val="left"/>
      <w:pPr>
        <w:ind w:left="3064" w:hanging="720"/>
      </w:pPr>
      <w:rPr>
        <w:rFonts w:hint="default"/>
        <w:lang w:val="en-US" w:eastAsia="en-US" w:bidi="en-US"/>
      </w:rPr>
    </w:lvl>
    <w:lvl w:ilvl="4" w:tplc="F35C94FE">
      <w:numFmt w:val="bullet"/>
      <w:lvlText w:val="•"/>
      <w:lvlJc w:val="left"/>
      <w:pPr>
        <w:ind w:left="4012" w:hanging="720"/>
      </w:pPr>
      <w:rPr>
        <w:rFonts w:hint="default"/>
        <w:lang w:val="en-US" w:eastAsia="en-US" w:bidi="en-US"/>
      </w:rPr>
    </w:lvl>
    <w:lvl w:ilvl="5" w:tplc="4D0AE5B2">
      <w:numFmt w:val="bullet"/>
      <w:lvlText w:val="•"/>
      <w:lvlJc w:val="left"/>
      <w:pPr>
        <w:ind w:left="4960" w:hanging="720"/>
      </w:pPr>
      <w:rPr>
        <w:rFonts w:hint="default"/>
        <w:lang w:val="en-US" w:eastAsia="en-US" w:bidi="en-US"/>
      </w:rPr>
    </w:lvl>
    <w:lvl w:ilvl="6" w:tplc="83A4C7CA">
      <w:numFmt w:val="bullet"/>
      <w:lvlText w:val="•"/>
      <w:lvlJc w:val="left"/>
      <w:pPr>
        <w:ind w:left="5908" w:hanging="720"/>
      </w:pPr>
      <w:rPr>
        <w:rFonts w:hint="default"/>
        <w:lang w:val="en-US" w:eastAsia="en-US" w:bidi="en-US"/>
      </w:rPr>
    </w:lvl>
    <w:lvl w:ilvl="7" w:tplc="0324F07A">
      <w:numFmt w:val="bullet"/>
      <w:lvlText w:val="•"/>
      <w:lvlJc w:val="left"/>
      <w:pPr>
        <w:ind w:left="6856" w:hanging="720"/>
      </w:pPr>
      <w:rPr>
        <w:rFonts w:hint="default"/>
        <w:lang w:val="en-US" w:eastAsia="en-US" w:bidi="en-US"/>
      </w:rPr>
    </w:lvl>
    <w:lvl w:ilvl="8" w:tplc="1E540002">
      <w:numFmt w:val="bullet"/>
      <w:lvlText w:val="•"/>
      <w:lvlJc w:val="left"/>
      <w:pPr>
        <w:ind w:left="7804"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75"/>
    <w:rsid w:val="0002110A"/>
    <w:rsid w:val="000531C8"/>
    <w:rsid w:val="000977BC"/>
    <w:rsid w:val="000B0972"/>
    <w:rsid w:val="000C1451"/>
    <w:rsid w:val="00100CEF"/>
    <w:rsid w:val="00113B45"/>
    <w:rsid w:val="0020169B"/>
    <w:rsid w:val="00216985"/>
    <w:rsid w:val="00244201"/>
    <w:rsid w:val="00265736"/>
    <w:rsid w:val="002A4711"/>
    <w:rsid w:val="002A4844"/>
    <w:rsid w:val="002A6A7D"/>
    <w:rsid w:val="002E20BD"/>
    <w:rsid w:val="002F5275"/>
    <w:rsid w:val="00313B44"/>
    <w:rsid w:val="003208F3"/>
    <w:rsid w:val="00334DEC"/>
    <w:rsid w:val="003413AB"/>
    <w:rsid w:val="00363CB3"/>
    <w:rsid w:val="003A3DF8"/>
    <w:rsid w:val="003C5D19"/>
    <w:rsid w:val="003E3489"/>
    <w:rsid w:val="004654D3"/>
    <w:rsid w:val="00471D05"/>
    <w:rsid w:val="004D3D89"/>
    <w:rsid w:val="004E3EF6"/>
    <w:rsid w:val="00500671"/>
    <w:rsid w:val="005606A7"/>
    <w:rsid w:val="00596E35"/>
    <w:rsid w:val="005A074C"/>
    <w:rsid w:val="005C374F"/>
    <w:rsid w:val="005D7645"/>
    <w:rsid w:val="0068638C"/>
    <w:rsid w:val="006F6188"/>
    <w:rsid w:val="006F6316"/>
    <w:rsid w:val="00710F6E"/>
    <w:rsid w:val="007426DE"/>
    <w:rsid w:val="00796F3A"/>
    <w:rsid w:val="007B716F"/>
    <w:rsid w:val="007F383C"/>
    <w:rsid w:val="008628C8"/>
    <w:rsid w:val="008F6244"/>
    <w:rsid w:val="009214EE"/>
    <w:rsid w:val="00921B3D"/>
    <w:rsid w:val="009B3BF8"/>
    <w:rsid w:val="00AB3545"/>
    <w:rsid w:val="00B01C4E"/>
    <w:rsid w:val="00B5727B"/>
    <w:rsid w:val="00BB525A"/>
    <w:rsid w:val="00BB593B"/>
    <w:rsid w:val="00BE5817"/>
    <w:rsid w:val="00C360A0"/>
    <w:rsid w:val="00C5537F"/>
    <w:rsid w:val="00C5776B"/>
    <w:rsid w:val="00C73DB4"/>
    <w:rsid w:val="00C85AF8"/>
    <w:rsid w:val="00CD7357"/>
    <w:rsid w:val="00CD7F06"/>
    <w:rsid w:val="00D25CB3"/>
    <w:rsid w:val="00D75C75"/>
    <w:rsid w:val="00DA38D4"/>
    <w:rsid w:val="00E013F2"/>
    <w:rsid w:val="00E03AB6"/>
    <w:rsid w:val="00E14B43"/>
    <w:rsid w:val="00E15E19"/>
    <w:rsid w:val="00E360BD"/>
    <w:rsid w:val="00E445AE"/>
    <w:rsid w:val="00E85846"/>
    <w:rsid w:val="00EA10ED"/>
    <w:rsid w:val="00ED5DD1"/>
    <w:rsid w:val="00F32A1A"/>
    <w:rsid w:val="00F55B02"/>
    <w:rsid w:val="00F701DD"/>
    <w:rsid w:val="00FA5474"/>
    <w:rsid w:val="00FB43B1"/>
    <w:rsid w:val="00FC6ECD"/>
    <w:rsid w:val="00FF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AB0A"/>
  <w15:docId w15:val="{B7492D3B-AA45-4716-AFE6-EAEB61EE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spacing w:before="119"/>
      <w:ind w:left="107"/>
    </w:pPr>
  </w:style>
  <w:style w:type="table" w:styleId="TableGrid">
    <w:name w:val="Table Grid"/>
    <w:basedOn w:val="TableNormal"/>
    <w:uiPriority w:val="39"/>
    <w:rsid w:val="00C3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846"/>
    <w:rPr>
      <w:rFonts w:ascii="Segoe UI" w:eastAsia="Arial" w:hAnsi="Segoe UI" w:cs="Segoe UI"/>
      <w:sz w:val="18"/>
      <w:szCs w:val="18"/>
      <w:lang w:bidi="en-US"/>
    </w:rPr>
  </w:style>
  <w:style w:type="paragraph" w:styleId="Header">
    <w:name w:val="header"/>
    <w:basedOn w:val="Normal"/>
    <w:link w:val="HeaderChar"/>
    <w:uiPriority w:val="99"/>
    <w:unhideWhenUsed/>
    <w:rsid w:val="00265736"/>
    <w:pPr>
      <w:tabs>
        <w:tab w:val="center" w:pos="4680"/>
        <w:tab w:val="right" w:pos="9360"/>
      </w:tabs>
    </w:pPr>
  </w:style>
  <w:style w:type="character" w:customStyle="1" w:styleId="HeaderChar">
    <w:name w:val="Header Char"/>
    <w:basedOn w:val="DefaultParagraphFont"/>
    <w:link w:val="Header"/>
    <w:uiPriority w:val="99"/>
    <w:rsid w:val="00265736"/>
    <w:rPr>
      <w:rFonts w:ascii="Arial" w:eastAsia="Arial" w:hAnsi="Arial" w:cs="Arial"/>
      <w:lang w:bidi="en-US"/>
    </w:rPr>
  </w:style>
  <w:style w:type="paragraph" w:styleId="Footer">
    <w:name w:val="footer"/>
    <w:basedOn w:val="Normal"/>
    <w:link w:val="FooterChar"/>
    <w:uiPriority w:val="99"/>
    <w:unhideWhenUsed/>
    <w:rsid w:val="00265736"/>
    <w:pPr>
      <w:tabs>
        <w:tab w:val="center" w:pos="4680"/>
        <w:tab w:val="right" w:pos="9360"/>
      </w:tabs>
    </w:pPr>
  </w:style>
  <w:style w:type="character" w:customStyle="1" w:styleId="FooterChar">
    <w:name w:val="Footer Char"/>
    <w:basedOn w:val="DefaultParagraphFont"/>
    <w:link w:val="Footer"/>
    <w:uiPriority w:val="99"/>
    <w:rsid w:val="00265736"/>
    <w:rPr>
      <w:rFonts w:ascii="Arial" w:eastAsia="Arial" w:hAnsi="Arial" w:cs="Arial"/>
      <w:lang w:bidi="en-US"/>
    </w:rPr>
  </w:style>
  <w:style w:type="character" w:styleId="CommentReference">
    <w:name w:val="annotation reference"/>
    <w:basedOn w:val="DefaultParagraphFont"/>
    <w:uiPriority w:val="99"/>
    <w:semiHidden/>
    <w:unhideWhenUsed/>
    <w:rsid w:val="00C5537F"/>
    <w:rPr>
      <w:sz w:val="16"/>
      <w:szCs w:val="16"/>
    </w:rPr>
  </w:style>
  <w:style w:type="paragraph" w:styleId="CommentText">
    <w:name w:val="annotation text"/>
    <w:basedOn w:val="Normal"/>
    <w:link w:val="CommentTextChar"/>
    <w:uiPriority w:val="99"/>
    <w:semiHidden/>
    <w:unhideWhenUsed/>
    <w:rsid w:val="00C5537F"/>
    <w:rPr>
      <w:sz w:val="20"/>
      <w:szCs w:val="20"/>
    </w:rPr>
  </w:style>
  <w:style w:type="character" w:customStyle="1" w:styleId="CommentTextChar">
    <w:name w:val="Comment Text Char"/>
    <w:basedOn w:val="DefaultParagraphFont"/>
    <w:link w:val="CommentText"/>
    <w:uiPriority w:val="99"/>
    <w:semiHidden/>
    <w:rsid w:val="00C5537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5537F"/>
    <w:rPr>
      <w:b/>
      <w:bCs/>
    </w:rPr>
  </w:style>
  <w:style w:type="character" w:customStyle="1" w:styleId="CommentSubjectChar">
    <w:name w:val="Comment Subject Char"/>
    <w:basedOn w:val="CommentTextChar"/>
    <w:link w:val="CommentSubject"/>
    <w:uiPriority w:val="99"/>
    <w:semiHidden/>
    <w:rsid w:val="00C5537F"/>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BB593B"/>
    <w:rPr>
      <w:rFonts w:ascii="Arial" w:eastAsia="Arial" w:hAnsi="Arial" w:cs="Arial"/>
      <w:sz w:val="20"/>
      <w:szCs w:val="20"/>
      <w:lang w:bidi="en-US"/>
    </w:rPr>
  </w:style>
  <w:style w:type="character" w:styleId="Hyperlink">
    <w:name w:val="Hyperlink"/>
    <w:basedOn w:val="DefaultParagraphFont"/>
    <w:uiPriority w:val="99"/>
    <w:unhideWhenUsed/>
    <w:rsid w:val="00BB5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BPA_Arbitration@oi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surance.wa.gov/self-funded-group-health-pla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IC THEM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5ABF-EACF-47E2-8FB0-38E758D32793}">
  <ds:schemaRefs>
    <ds:schemaRef ds:uri="http://schemas.microsoft.com/sharepoint/v3/contenttype/forms"/>
  </ds:schemaRefs>
</ds:datastoreItem>
</file>

<file path=customXml/itemProps2.xml><?xml version="1.0" encoding="utf-8"?>
<ds:datastoreItem xmlns:ds="http://schemas.openxmlformats.org/officeDocument/2006/customXml" ds:itemID="{A1F68182-7120-4A2A-B6B2-3B7FEF795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51352F-1884-48E3-B692-F3D82E34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53628E-7104-44A6-BBBF-B6829F59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arbitration requested</vt:lpstr>
    </vt:vector>
  </TitlesOfParts>
  <Company>Office of the Insurance Commissioner</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arbitration requested</dc:title>
  <dc:subject>Form for notifiying OIC that arbitration for surprise billing has been initiated</dc:subject>
  <dc:creator>Julie Eisentrout, Office of the Insurance Commissioner</dc:creator>
  <cp:lastModifiedBy>Goodman, Bradley</cp:lastModifiedBy>
  <cp:revision>4</cp:revision>
  <cp:lastPrinted>2020-01-03T19:48:00Z</cp:lastPrinted>
  <dcterms:created xsi:type="dcterms:W3CDTF">2020-03-20T14:26:00Z</dcterms:created>
  <dcterms:modified xsi:type="dcterms:W3CDTF">2020-05-15T14:43:00Z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2016</vt:lpwstr>
  </property>
  <property fmtid="{D5CDD505-2E9C-101B-9397-08002B2CF9AE}" pid="4" name="LastSaved">
    <vt:filetime>2020-01-03T00:00:00Z</vt:filetime>
  </property>
</Properties>
</file>